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FA1" w:rsidRPr="0026356B" w:rsidRDefault="00166D82" w:rsidP="00962C39">
      <w:pPr>
        <w:jc w:val="center"/>
        <w:rPr>
          <w:rFonts w:ascii="宋体" w:eastAsia="宋体" w:hAnsi="宋体"/>
          <w:b/>
          <w:bCs/>
          <w:sz w:val="24"/>
          <w:szCs w:val="24"/>
        </w:rPr>
      </w:pPr>
      <w:r w:rsidRPr="0026356B">
        <w:rPr>
          <w:rFonts w:ascii="宋体" w:eastAsia="宋体" w:hAnsi="宋体" w:hint="eastAsia"/>
          <w:b/>
          <w:bCs/>
          <w:sz w:val="24"/>
          <w:szCs w:val="24"/>
        </w:rPr>
        <w:t>昆明南方水务</w:t>
      </w:r>
      <w:r w:rsidR="003D0873" w:rsidRPr="0026356B">
        <w:rPr>
          <w:rFonts w:ascii="宋体" w:eastAsia="宋体" w:hAnsi="宋体" w:hint="eastAsia"/>
          <w:b/>
          <w:bCs/>
          <w:sz w:val="24"/>
          <w:szCs w:val="24"/>
        </w:rPr>
        <w:t>有限</w:t>
      </w:r>
      <w:r w:rsidR="009430CF" w:rsidRPr="0026356B">
        <w:rPr>
          <w:rFonts w:ascii="宋体" w:eastAsia="宋体" w:hAnsi="宋体" w:hint="eastAsia"/>
          <w:b/>
          <w:bCs/>
          <w:sz w:val="24"/>
          <w:szCs w:val="24"/>
        </w:rPr>
        <w:t>公司</w:t>
      </w:r>
      <w:r w:rsidR="00962C39" w:rsidRPr="0026356B">
        <w:rPr>
          <w:rFonts w:ascii="宋体" w:eastAsia="宋体" w:hAnsi="宋体" w:hint="eastAsia"/>
          <w:b/>
          <w:bCs/>
          <w:sz w:val="24"/>
          <w:szCs w:val="24"/>
        </w:rPr>
        <w:t>职业病危害现状评价</w:t>
      </w:r>
      <w:r w:rsidR="009430CF" w:rsidRPr="0026356B">
        <w:rPr>
          <w:rFonts w:ascii="宋体" w:eastAsia="宋体" w:hAnsi="宋体" w:hint="eastAsia"/>
          <w:b/>
          <w:bCs/>
          <w:sz w:val="24"/>
          <w:szCs w:val="24"/>
        </w:rPr>
        <w:t>情况</w:t>
      </w:r>
      <w:r w:rsidR="00962C39" w:rsidRPr="0026356B">
        <w:rPr>
          <w:rFonts w:ascii="宋体" w:eastAsia="宋体" w:hAnsi="宋体" w:hint="eastAsia"/>
          <w:b/>
          <w:bCs/>
          <w:sz w:val="24"/>
          <w:szCs w:val="24"/>
        </w:rPr>
        <w:t>公示</w:t>
      </w:r>
    </w:p>
    <w:p w:rsidR="00BC6BE4" w:rsidRPr="00BC6BE4" w:rsidRDefault="00BC6BE4" w:rsidP="00962C39">
      <w:pPr>
        <w:jc w:val="center"/>
        <w:rPr>
          <w:rFonts w:ascii="宋体" w:eastAsia="宋体" w:hAnsi="宋体"/>
          <w:sz w:val="24"/>
          <w:szCs w:val="24"/>
        </w:rPr>
      </w:pPr>
    </w:p>
    <w:tbl>
      <w:tblPr>
        <w:tblStyle w:val="a7"/>
        <w:tblW w:w="0" w:type="auto"/>
        <w:jc w:val="center"/>
        <w:tblLook w:val="04A0" w:firstRow="1" w:lastRow="0" w:firstColumn="1" w:lastColumn="0" w:noHBand="0" w:noVBand="1"/>
      </w:tblPr>
      <w:tblGrid>
        <w:gridCol w:w="846"/>
        <w:gridCol w:w="1559"/>
        <w:gridCol w:w="5891"/>
      </w:tblGrid>
      <w:tr w:rsidR="00CE1946" w:rsidRPr="00962C39" w:rsidTr="00BC6BE4">
        <w:trPr>
          <w:jc w:val="center"/>
        </w:trPr>
        <w:tc>
          <w:tcPr>
            <w:tcW w:w="846" w:type="dxa"/>
            <w:vMerge w:val="restart"/>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用人单位基本情况</w:t>
            </w: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单位名称</w:t>
            </w:r>
          </w:p>
        </w:tc>
        <w:tc>
          <w:tcPr>
            <w:tcW w:w="5891" w:type="dxa"/>
            <w:vAlign w:val="center"/>
          </w:tcPr>
          <w:p w:rsidR="00962C39" w:rsidRPr="00BC6BE4" w:rsidRDefault="00166D82" w:rsidP="00962C39">
            <w:pPr>
              <w:spacing w:line="400" w:lineRule="exact"/>
              <w:rPr>
                <w:rFonts w:ascii="宋体" w:eastAsia="宋体" w:hAnsi="宋体"/>
                <w:szCs w:val="21"/>
              </w:rPr>
            </w:pPr>
            <w:r w:rsidRPr="00BC6BE4">
              <w:rPr>
                <w:rFonts w:ascii="宋体" w:eastAsia="宋体" w:hAnsi="宋体" w:hint="eastAsia"/>
                <w:szCs w:val="21"/>
              </w:rPr>
              <w:t>昆明南方水务有限公司</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单位简介</w:t>
            </w:r>
          </w:p>
        </w:tc>
        <w:tc>
          <w:tcPr>
            <w:tcW w:w="5891" w:type="dxa"/>
            <w:vAlign w:val="center"/>
          </w:tcPr>
          <w:p w:rsidR="00166D82" w:rsidRPr="00BC6BE4" w:rsidRDefault="00166D82" w:rsidP="00BC6BE4">
            <w:pPr>
              <w:spacing w:line="240" w:lineRule="exact"/>
              <w:ind w:firstLineChars="100" w:firstLine="210"/>
              <w:rPr>
                <w:rFonts w:ascii="宋体" w:eastAsia="宋体" w:hAnsi="宋体" w:cs="仿宋_GB2312"/>
                <w:szCs w:val="21"/>
                <w:lang w:val="zh-CN"/>
              </w:rPr>
            </w:pPr>
            <w:r w:rsidRPr="00BC6BE4">
              <w:rPr>
                <w:rFonts w:ascii="宋体" w:eastAsia="宋体" w:hAnsi="宋体" w:cs="仿宋_GB2312" w:hint="eastAsia"/>
                <w:szCs w:val="21"/>
                <w:lang w:val="zh-CN"/>
              </w:rPr>
              <w:t>企业名称：昆明南方水务有限公司</w:t>
            </w:r>
          </w:p>
          <w:p w:rsidR="00166D82" w:rsidRPr="00BC6BE4" w:rsidRDefault="00166D82" w:rsidP="00BC6BE4">
            <w:pPr>
              <w:spacing w:line="240" w:lineRule="exact"/>
              <w:ind w:firstLineChars="100" w:firstLine="210"/>
              <w:rPr>
                <w:rFonts w:ascii="宋体" w:eastAsia="宋体" w:hAnsi="宋体" w:cs="仿宋_GB2312"/>
                <w:szCs w:val="21"/>
                <w:lang w:val="zh-CN"/>
              </w:rPr>
            </w:pPr>
            <w:r w:rsidRPr="00BC6BE4">
              <w:rPr>
                <w:rFonts w:ascii="宋体" w:eastAsia="宋体" w:hAnsi="宋体" w:cs="仿宋_GB2312" w:hint="eastAsia"/>
                <w:szCs w:val="21"/>
                <w:lang w:val="zh-CN"/>
              </w:rPr>
              <w:t>单位地址：云南省昆明经开区信息产业基地倪家营水质净化厂</w:t>
            </w:r>
          </w:p>
          <w:p w:rsidR="00166D82" w:rsidRPr="00BC6BE4" w:rsidRDefault="00166D82" w:rsidP="00BC6BE4">
            <w:pPr>
              <w:spacing w:line="240" w:lineRule="exact"/>
              <w:ind w:firstLineChars="100" w:firstLine="210"/>
              <w:rPr>
                <w:rFonts w:ascii="宋体" w:eastAsia="宋体" w:hAnsi="宋体" w:cs="仿宋_GB2312"/>
                <w:szCs w:val="21"/>
              </w:rPr>
            </w:pPr>
            <w:r w:rsidRPr="00BC6BE4">
              <w:rPr>
                <w:rFonts w:ascii="宋体" w:eastAsia="宋体" w:hAnsi="宋体" w:cs="仿宋_GB2312" w:hint="eastAsia"/>
                <w:szCs w:val="21"/>
              </w:rPr>
              <w:t>法定代表人：</w:t>
            </w:r>
            <w:r w:rsidRPr="00BC6BE4">
              <w:rPr>
                <w:rFonts w:ascii="宋体" w:eastAsia="宋体" w:hAnsi="宋体" w:cs="仿宋_GB2312"/>
                <w:szCs w:val="21"/>
              </w:rPr>
              <w:t xml:space="preserve"> </w:t>
            </w:r>
            <w:r w:rsidRPr="00BC6BE4">
              <w:rPr>
                <w:rFonts w:ascii="宋体" w:eastAsia="宋体" w:hAnsi="宋体" w:cs="仿宋_GB2312" w:hint="eastAsia"/>
                <w:szCs w:val="21"/>
              </w:rPr>
              <w:t>宗永忠</w:t>
            </w:r>
          </w:p>
          <w:p w:rsidR="00166D82" w:rsidRPr="00BC6BE4" w:rsidRDefault="00166D82" w:rsidP="00BC6BE4">
            <w:pPr>
              <w:spacing w:line="240" w:lineRule="exact"/>
              <w:ind w:firstLineChars="100" w:firstLine="210"/>
              <w:rPr>
                <w:rFonts w:ascii="宋体" w:eastAsia="宋体" w:hAnsi="宋体" w:cs="仿宋_GB2312"/>
                <w:szCs w:val="21"/>
              </w:rPr>
            </w:pPr>
            <w:r w:rsidRPr="00BC6BE4">
              <w:rPr>
                <w:rFonts w:ascii="宋体" w:eastAsia="宋体" w:hAnsi="宋体" w:cs="仿宋_GB2312" w:hint="eastAsia"/>
                <w:szCs w:val="21"/>
              </w:rPr>
              <w:t>注册资本：1000万人民币</w:t>
            </w:r>
          </w:p>
          <w:p w:rsidR="00166D82" w:rsidRPr="00BC6BE4" w:rsidRDefault="00166D82" w:rsidP="00BC6BE4">
            <w:pPr>
              <w:spacing w:line="240" w:lineRule="exact"/>
              <w:ind w:firstLineChars="100" w:firstLine="210"/>
              <w:rPr>
                <w:rFonts w:ascii="宋体" w:eastAsia="宋体" w:hAnsi="宋体" w:cs="仿宋_GB2312"/>
                <w:szCs w:val="21"/>
              </w:rPr>
            </w:pPr>
            <w:r w:rsidRPr="00BC6BE4">
              <w:rPr>
                <w:rFonts w:ascii="宋体" w:eastAsia="宋体" w:hAnsi="宋体" w:cs="仿宋_GB2312" w:hint="eastAsia"/>
                <w:szCs w:val="21"/>
              </w:rPr>
              <w:t>公司类型：其他有限责任公司</w:t>
            </w:r>
          </w:p>
          <w:p w:rsidR="00166D82" w:rsidRPr="00BC6BE4" w:rsidRDefault="00166D82" w:rsidP="00BC6BE4">
            <w:pPr>
              <w:spacing w:line="240" w:lineRule="exact"/>
              <w:ind w:firstLineChars="100" w:firstLine="210"/>
              <w:rPr>
                <w:rFonts w:ascii="宋体" w:eastAsia="宋体" w:hAnsi="宋体" w:cs="仿宋_GB2312"/>
                <w:szCs w:val="21"/>
              </w:rPr>
            </w:pPr>
            <w:r w:rsidRPr="00BC6BE4">
              <w:rPr>
                <w:rFonts w:ascii="宋体" w:eastAsia="宋体" w:hAnsi="宋体" w:cs="仿宋_GB2312" w:hint="eastAsia"/>
                <w:szCs w:val="21"/>
              </w:rPr>
              <w:t>经营范围：城市污水处理厂的运营管理及技术的开发、转让与咨询服务；市政公用工程、环保工程、防水防腐保温工程、机电工程、水利水电工程、河湖整治工程、安装工程的投资、建设、运营、管理；劳务派遣；计算机软件的研发应用及技术咨询、技术服务；计算机系统集成及综合布线。</w:t>
            </w:r>
          </w:p>
          <w:p w:rsidR="00962C39" w:rsidRPr="00BC6BE4" w:rsidRDefault="00166D82" w:rsidP="00BC6BE4">
            <w:pPr>
              <w:spacing w:line="240" w:lineRule="exact"/>
              <w:ind w:firstLineChars="100" w:firstLine="210"/>
              <w:rPr>
                <w:rFonts w:ascii="宋体" w:eastAsia="宋体" w:hAnsi="宋体" w:cs="仿宋_GB2312"/>
                <w:szCs w:val="21"/>
              </w:rPr>
            </w:pPr>
            <w:r w:rsidRPr="00BC6BE4">
              <w:rPr>
                <w:rFonts w:ascii="宋体" w:eastAsia="宋体" w:hAnsi="宋体" w:cs="Calibri"/>
                <w:color w:val="383838"/>
                <w:szCs w:val="21"/>
                <w:shd w:val="clear" w:color="auto" w:fill="F0F8FF"/>
              </w:rPr>
              <w:t> </w:t>
            </w:r>
            <w:r w:rsidRPr="00BC6BE4">
              <w:rPr>
                <w:rFonts w:ascii="宋体" w:eastAsia="宋体" w:hAnsi="宋体" w:cs="仿宋_GB2312"/>
                <w:szCs w:val="21"/>
              </w:rPr>
              <w:t>昆明南方水务有限公司是由“深圳市轶伦水务投资有限公司”与“昆明经济技术开发区投资开发（集团）有限公司”于2009年8月投资成立。公司主要从事城乡污水处理、市政管网、黑臭水体治理、水环境综合治理、海绵城市、城市综合管廊的投资建设、咨询、设计业务，以及管网检测测绘、互联网+智慧水务的研发及推广应用。公司拥有丰富的运营管理和投资建设经验，拥有一支经验丰富的专家、工程师组成的成熟稳定的管理团队。公司致力于管理创新，在运营管理中率先推行了“厂、网、河一体化”管理，并通过了ISO9001质量管理体系、ISO14001环境管理体系、OHSAS18001职业健康安全管理体系的认证。</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地理位置</w:t>
            </w:r>
          </w:p>
        </w:tc>
        <w:tc>
          <w:tcPr>
            <w:tcW w:w="5891" w:type="dxa"/>
            <w:vAlign w:val="center"/>
          </w:tcPr>
          <w:p w:rsidR="00CE1946" w:rsidRPr="00BC6BE4" w:rsidRDefault="00166D82" w:rsidP="00962C39">
            <w:pPr>
              <w:spacing w:line="400" w:lineRule="exact"/>
              <w:rPr>
                <w:rFonts w:ascii="宋体" w:eastAsia="宋体" w:hAnsi="宋体"/>
                <w:szCs w:val="21"/>
              </w:rPr>
            </w:pPr>
            <w:r w:rsidRPr="00BC6BE4">
              <w:rPr>
                <w:rFonts w:ascii="宋体" w:eastAsia="宋体" w:hAnsi="宋体" w:cs="仿宋_GB2312" w:hint="eastAsia"/>
                <w:szCs w:val="21"/>
                <w:lang w:val="zh-CN"/>
              </w:rPr>
              <w:t>位于呈贡县洛羊镇</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联系人</w:t>
            </w:r>
          </w:p>
        </w:tc>
        <w:tc>
          <w:tcPr>
            <w:tcW w:w="5891" w:type="dxa"/>
            <w:vAlign w:val="center"/>
          </w:tcPr>
          <w:p w:rsidR="00CE1946" w:rsidRPr="00BC6BE4" w:rsidRDefault="001F554F" w:rsidP="00962C39">
            <w:pPr>
              <w:spacing w:line="400" w:lineRule="exact"/>
              <w:rPr>
                <w:rFonts w:ascii="宋体" w:eastAsia="宋体" w:hAnsi="宋体"/>
                <w:szCs w:val="21"/>
              </w:rPr>
            </w:pPr>
            <w:r w:rsidRPr="00BC6BE4">
              <w:rPr>
                <w:rFonts w:ascii="宋体" w:eastAsia="宋体" w:hAnsi="宋体" w:hint="eastAsia"/>
                <w:szCs w:val="21"/>
              </w:rPr>
              <w:t>王娅</w:t>
            </w:r>
          </w:p>
        </w:tc>
      </w:tr>
      <w:tr w:rsidR="00BC6BE4" w:rsidRPr="00962C39" w:rsidTr="001D7E5E">
        <w:trPr>
          <w:jc w:val="center"/>
        </w:trPr>
        <w:tc>
          <w:tcPr>
            <w:tcW w:w="846" w:type="dxa"/>
            <w:vMerge w:val="restart"/>
            <w:vAlign w:val="center"/>
          </w:tcPr>
          <w:p w:rsidR="00BC6BE4" w:rsidRPr="00BC6BE4" w:rsidRDefault="00BC6BE4" w:rsidP="00BC6BE4">
            <w:pPr>
              <w:spacing w:line="400" w:lineRule="exact"/>
              <w:rPr>
                <w:rFonts w:ascii="宋体" w:eastAsia="宋体" w:hAnsi="宋体"/>
                <w:szCs w:val="21"/>
              </w:rPr>
            </w:pPr>
            <w:r w:rsidRPr="00BC6BE4">
              <w:rPr>
                <w:rFonts w:ascii="宋体" w:eastAsia="宋体" w:hAnsi="宋体" w:hint="eastAsia"/>
                <w:szCs w:val="21"/>
              </w:rPr>
              <w:t>现场调查及检测情况</w:t>
            </w:r>
          </w:p>
        </w:tc>
        <w:tc>
          <w:tcPr>
            <w:tcW w:w="1559" w:type="dxa"/>
            <w:vAlign w:val="center"/>
          </w:tcPr>
          <w:p w:rsidR="00BC6BE4" w:rsidRPr="00BC6BE4" w:rsidRDefault="00BC6BE4" w:rsidP="00BC6BE4">
            <w:pPr>
              <w:spacing w:line="400" w:lineRule="exact"/>
              <w:rPr>
                <w:rFonts w:ascii="宋体" w:eastAsia="宋体" w:hAnsi="宋体"/>
                <w:szCs w:val="21"/>
              </w:rPr>
            </w:pPr>
            <w:r w:rsidRPr="00BC6BE4">
              <w:rPr>
                <w:rFonts w:ascii="宋体" w:eastAsia="宋体" w:hAnsi="宋体" w:hint="eastAsia"/>
                <w:szCs w:val="21"/>
              </w:rPr>
              <w:t>项目负责人</w:t>
            </w:r>
          </w:p>
        </w:tc>
        <w:tc>
          <w:tcPr>
            <w:tcW w:w="5891" w:type="dxa"/>
          </w:tcPr>
          <w:p w:rsidR="00BC6BE4" w:rsidRPr="00BC6BE4" w:rsidRDefault="00BC6BE4" w:rsidP="00BC6BE4">
            <w:pPr>
              <w:rPr>
                <w:rFonts w:ascii="宋体" w:eastAsia="宋体" w:hAnsi="宋体" w:cs="仿宋_GB2312"/>
                <w:szCs w:val="21"/>
                <w:lang w:val="zh-CN"/>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tr w:rsidR="00BC6BE4" w:rsidRPr="00962C39" w:rsidTr="001D7E5E">
        <w:trPr>
          <w:jc w:val="center"/>
        </w:trPr>
        <w:tc>
          <w:tcPr>
            <w:tcW w:w="846" w:type="dxa"/>
            <w:vMerge/>
            <w:vAlign w:val="center"/>
          </w:tcPr>
          <w:p w:rsidR="00BC6BE4" w:rsidRPr="00BC6BE4" w:rsidRDefault="00BC6BE4" w:rsidP="00BC6BE4">
            <w:pPr>
              <w:spacing w:line="400" w:lineRule="exact"/>
              <w:rPr>
                <w:rFonts w:ascii="宋体" w:eastAsia="宋体" w:hAnsi="宋体"/>
                <w:szCs w:val="21"/>
              </w:rPr>
            </w:pPr>
          </w:p>
        </w:tc>
        <w:tc>
          <w:tcPr>
            <w:tcW w:w="1559" w:type="dxa"/>
            <w:vAlign w:val="center"/>
          </w:tcPr>
          <w:p w:rsidR="00BC6BE4" w:rsidRPr="00BC6BE4" w:rsidRDefault="00BC6BE4" w:rsidP="00BC6BE4">
            <w:pPr>
              <w:spacing w:line="400" w:lineRule="exact"/>
              <w:rPr>
                <w:rFonts w:ascii="宋体" w:eastAsia="宋体" w:hAnsi="宋体"/>
                <w:szCs w:val="21"/>
              </w:rPr>
            </w:pPr>
            <w:r w:rsidRPr="00BC6BE4">
              <w:rPr>
                <w:rFonts w:ascii="宋体" w:eastAsia="宋体" w:hAnsi="宋体" w:hint="eastAsia"/>
                <w:szCs w:val="21"/>
              </w:rPr>
              <w:t>报告书编写人</w:t>
            </w:r>
          </w:p>
        </w:tc>
        <w:tc>
          <w:tcPr>
            <w:tcW w:w="5891" w:type="dxa"/>
          </w:tcPr>
          <w:p w:rsidR="00BC6BE4" w:rsidRPr="00BC6BE4" w:rsidRDefault="00BC6BE4" w:rsidP="00BC6BE4">
            <w:pPr>
              <w:rPr>
                <w:rFonts w:ascii="宋体" w:eastAsia="宋体" w:hAnsi="宋体" w:cs="仿宋_GB2312"/>
                <w:szCs w:val="21"/>
                <w:lang w:val="zh-CN"/>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现场检测人员</w:t>
            </w:r>
          </w:p>
        </w:tc>
        <w:tc>
          <w:tcPr>
            <w:tcW w:w="5891" w:type="dxa"/>
            <w:vAlign w:val="center"/>
          </w:tcPr>
          <w:p w:rsidR="00CE1946" w:rsidRPr="00BC6BE4" w:rsidRDefault="003D0873" w:rsidP="00962C39">
            <w:pPr>
              <w:spacing w:line="400" w:lineRule="exact"/>
              <w:rPr>
                <w:rFonts w:ascii="宋体" w:eastAsia="宋体" w:hAnsi="宋体"/>
                <w:szCs w:val="21"/>
              </w:rPr>
            </w:pPr>
            <w:r w:rsidRPr="00BC6BE4">
              <w:rPr>
                <w:rFonts w:ascii="宋体" w:eastAsia="宋体" w:hAnsi="宋体" w:hint="eastAsia"/>
                <w:szCs w:val="21"/>
              </w:rPr>
              <w:t>王昆、毕飞、李骞</w:t>
            </w:r>
            <w:r w:rsidR="00166D82" w:rsidRPr="00BC6BE4">
              <w:rPr>
                <w:rFonts w:ascii="宋体" w:eastAsia="宋体" w:hAnsi="宋体" w:hint="eastAsia"/>
                <w:szCs w:val="21"/>
              </w:rPr>
              <w:t>、杨红、严翠兰、刘学光</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现场检测时间</w:t>
            </w:r>
          </w:p>
        </w:tc>
        <w:tc>
          <w:tcPr>
            <w:tcW w:w="5891" w:type="dxa"/>
            <w:vAlign w:val="center"/>
          </w:tcPr>
          <w:p w:rsidR="00CE1946" w:rsidRPr="00BC6BE4" w:rsidRDefault="003D0873" w:rsidP="00166D82">
            <w:pPr>
              <w:spacing w:line="400" w:lineRule="exact"/>
              <w:rPr>
                <w:rFonts w:ascii="宋体" w:eastAsia="宋体" w:hAnsi="宋体"/>
                <w:szCs w:val="21"/>
              </w:rPr>
            </w:pPr>
            <w:r w:rsidRPr="00BC6BE4">
              <w:rPr>
                <w:rFonts w:ascii="宋体" w:eastAsia="宋体" w:hAnsi="宋体" w:hint="eastAsia"/>
                <w:szCs w:val="21"/>
              </w:rPr>
              <w:t>2020年</w:t>
            </w:r>
            <w:r w:rsidR="00166D82" w:rsidRPr="00BC6BE4">
              <w:rPr>
                <w:rFonts w:ascii="宋体" w:eastAsia="宋体" w:hAnsi="宋体" w:hint="eastAsia"/>
                <w:szCs w:val="21"/>
              </w:rPr>
              <w:t>7</w:t>
            </w:r>
            <w:r w:rsidRPr="00BC6BE4">
              <w:rPr>
                <w:rFonts w:ascii="宋体" w:eastAsia="宋体" w:hAnsi="宋体" w:hint="eastAsia"/>
                <w:szCs w:val="21"/>
              </w:rPr>
              <w:t>月1</w:t>
            </w:r>
            <w:r w:rsidR="00166D82" w:rsidRPr="00BC6BE4">
              <w:rPr>
                <w:rFonts w:ascii="宋体" w:eastAsia="宋体" w:hAnsi="宋体" w:hint="eastAsia"/>
                <w:szCs w:val="21"/>
              </w:rPr>
              <w:t>6</w:t>
            </w:r>
            <w:r w:rsidRPr="00BC6BE4">
              <w:rPr>
                <w:rFonts w:ascii="宋体" w:eastAsia="宋体" w:hAnsi="宋体" w:hint="eastAsia"/>
                <w:szCs w:val="21"/>
              </w:rPr>
              <w:t>日</w:t>
            </w:r>
            <w:r w:rsidR="00166D82" w:rsidRPr="00BC6BE4">
              <w:rPr>
                <w:rFonts w:ascii="宋体" w:eastAsia="宋体" w:hAnsi="宋体" w:hint="eastAsia"/>
                <w:szCs w:val="21"/>
              </w:rPr>
              <w:t>、17日、20日</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单位陪同人</w:t>
            </w:r>
          </w:p>
        </w:tc>
        <w:tc>
          <w:tcPr>
            <w:tcW w:w="5891" w:type="dxa"/>
            <w:vAlign w:val="center"/>
          </w:tcPr>
          <w:p w:rsidR="00CE1946" w:rsidRPr="00BC6BE4" w:rsidRDefault="001F554F" w:rsidP="00962C39">
            <w:pPr>
              <w:spacing w:line="400" w:lineRule="exact"/>
              <w:rPr>
                <w:rFonts w:ascii="宋体" w:eastAsia="宋体" w:hAnsi="宋体"/>
                <w:szCs w:val="21"/>
              </w:rPr>
            </w:pPr>
            <w:r w:rsidRPr="00BC6BE4">
              <w:rPr>
                <w:rFonts w:ascii="宋体" w:eastAsia="宋体" w:hAnsi="宋体" w:hint="eastAsia"/>
                <w:szCs w:val="21"/>
              </w:rPr>
              <w:t>王娅</w:t>
            </w:r>
          </w:p>
        </w:tc>
      </w:tr>
      <w:tr w:rsidR="00CE1946" w:rsidRPr="00962C39" w:rsidTr="00BC6BE4">
        <w:trPr>
          <w:jc w:val="center"/>
        </w:trPr>
        <w:tc>
          <w:tcPr>
            <w:tcW w:w="846" w:type="dxa"/>
            <w:vMerge w:val="restart"/>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职业病危害元素检测</w:t>
            </w: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存在的主要职业病危害因素</w:t>
            </w:r>
          </w:p>
        </w:tc>
        <w:tc>
          <w:tcPr>
            <w:tcW w:w="5891" w:type="dxa"/>
            <w:vAlign w:val="center"/>
          </w:tcPr>
          <w:p w:rsidR="00CE1946" w:rsidRPr="00BC6BE4" w:rsidRDefault="003D0873" w:rsidP="001F554F">
            <w:pPr>
              <w:spacing w:line="400" w:lineRule="exact"/>
              <w:rPr>
                <w:rFonts w:ascii="宋体" w:eastAsia="宋体" w:hAnsi="宋体"/>
                <w:szCs w:val="21"/>
              </w:rPr>
            </w:pPr>
            <w:r w:rsidRPr="00BC6BE4">
              <w:rPr>
                <w:rFonts w:ascii="宋体" w:eastAsia="宋体" w:hAnsi="宋体" w:hint="eastAsia"/>
                <w:szCs w:val="21"/>
              </w:rPr>
              <w:t>噪声、</w:t>
            </w:r>
            <w:r w:rsidR="001F554F" w:rsidRPr="00BC6BE4">
              <w:rPr>
                <w:rFonts w:ascii="宋体" w:eastAsia="宋体" w:hAnsi="宋体" w:hint="eastAsia"/>
                <w:szCs w:val="21"/>
              </w:rPr>
              <w:t>氯气、盐酸、氨、硫化氢</w:t>
            </w:r>
          </w:p>
        </w:tc>
      </w:tr>
      <w:tr w:rsidR="00CE1946" w:rsidRPr="00962C39" w:rsidTr="00BC6BE4">
        <w:trPr>
          <w:jc w:val="center"/>
        </w:trPr>
        <w:tc>
          <w:tcPr>
            <w:tcW w:w="846" w:type="dxa"/>
            <w:vMerge/>
            <w:vAlign w:val="center"/>
          </w:tcPr>
          <w:p w:rsidR="00CE1946" w:rsidRPr="00BC6BE4" w:rsidRDefault="00CE1946" w:rsidP="00962C39">
            <w:pPr>
              <w:spacing w:line="400" w:lineRule="exact"/>
              <w:rPr>
                <w:rFonts w:ascii="宋体" w:eastAsia="宋体" w:hAnsi="宋体"/>
                <w:szCs w:val="21"/>
              </w:rPr>
            </w:pPr>
          </w:p>
        </w:tc>
        <w:tc>
          <w:tcPr>
            <w:tcW w:w="1559" w:type="dxa"/>
            <w:vAlign w:val="center"/>
          </w:tcPr>
          <w:p w:rsidR="00CE1946" w:rsidRPr="00BC6BE4" w:rsidRDefault="00CE1946" w:rsidP="00962C39">
            <w:pPr>
              <w:spacing w:line="400" w:lineRule="exact"/>
              <w:rPr>
                <w:rFonts w:ascii="宋体" w:eastAsia="宋体" w:hAnsi="宋体"/>
                <w:szCs w:val="21"/>
              </w:rPr>
            </w:pPr>
            <w:r w:rsidRPr="00BC6BE4">
              <w:rPr>
                <w:rFonts w:ascii="宋体" w:eastAsia="宋体" w:hAnsi="宋体" w:hint="eastAsia"/>
                <w:szCs w:val="21"/>
              </w:rPr>
              <w:t>职业病危害因素检测结果</w:t>
            </w:r>
          </w:p>
        </w:tc>
        <w:tc>
          <w:tcPr>
            <w:tcW w:w="5891" w:type="dxa"/>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319"/>
              <w:gridCol w:w="1141"/>
              <w:gridCol w:w="1447"/>
            </w:tblGrid>
            <w:tr w:rsidR="001F554F" w:rsidRPr="0026356B" w:rsidTr="00867991">
              <w:trPr>
                <w:trHeight w:val="90"/>
                <w:tblHeader/>
                <w:jc w:val="center"/>
              </w:trPr>
              <w:tc>
                <w:tcPr>
                  <w:tcW w:w="1552" w:type="pct"/>
                  <w:vAlign w:val="center"/>
                </w:tcPr>
                <w:p w:rsidR="001F554F" w:rsidRPr="0026356B" w:rsidRDefault="001F554F" w:rsidP="00867991">
                  <w:pPr>
                    <w:spacing w:line="260" w:lineRule="exact"/>
                    <w:jc w:val="center"/>
                    <w:rPr>
                      <w:rFonts w:ascii="宋体" w:eastAsia="宋体" w:hAnsi="宋体" w:cs="仿宋_GB2312"/>
                      <w:b/>
                      <w:bCs/>
                      <w:sz w:val="18"/>
                      <w:szCs w:val="18"/>
                    </w:rPr>
                  </w:pPr>
                  <w:r w:rsidRPr="0026356B">
                    <w:rPr>
                      <w:rFonts w:ascii="宋体" w:eastAsia="宋体" w:hAnsi="宋体" w:cs="仿宋_GB2312" w:hint="eastAsia"/>
                      <w:b/>
                      <w:bCs/>
                      <w:sz w:val="18"/>
                      <w:szCs w:val="18"/>
                    </w:rPr>
                    <w:t>检测项目及指标</w:t>
                  </w:r>
                </w:p>
              </w:tc>
              <w:tc>
                <w:tcPr>
                  <w:tcW w:w="1164" w:type="pct"/>
                  <w:vAlign w:val="center"/>
                </w:tcPr>
                <w:p w:rsidR="001F554F" w:rsidRPr="0026356B" w:rsidRDefault="001F554F" w:rsidP="00867991">
                  <w:pPr>
                    <w:spacing w:line="260" w:lineRule="exact"/>
                    <w:jc w:val="center"/>
                    <w:rPr>
                      <w:rFonts w:ascii="宋体" w:eastAsia="宋体" w:hAnsi="宋体" w:cs="仿宋_GB2312"/>
                      <w:b/>
                      <w:bCs/>
                      <w:sz w:val="18"/>
                      <w:szCs w:val="18"/>
                    </w:rPr>
                  </w:pPr>
                  <w:r w:rsidRPr="0026356B">
                    <w:rPr>
                      <w:rFonts w:ascii="宋体" w:eastAsia="宋体" w:hAnsi="宋体" w:cs="仿宋_GB2312" w:hint="eastAsia"/>
                      <w:b/>
                      <w:bCs/>
                      <w:sz w:val="18"/>
                      <w:szCs w:val="18"/>
                    </w:rPr>
                    <w:t>检测点或岗位数</w:t>
                  </w:r>
                </w:p>
              </w:tc>
              <w:tc>
                <w:tcPr>
                  <w:tcW w:w="1007" w:type="pct"/>
                  <w:vAlign w:val="center"/>
                </w:tcPr>
                <w:p w:rsidR="001F554F" w:rsidRPr="0026356B" w:rsidRDefault="001F554F" w:rsidP="00867991">
                  <w:pPr>
                    <w:spacing w:line="260" w:lineRule="exact"/>
                    <w:jc w:val="center"/>
                    <w:rPr>
                      <w:rFonts w:ascii="宋体" w:eastAsia="宋体" w:hAnsi="宋体" w:cs="仿宋_GB2312"/>
                      <w:b/>
                      <w:bCs/>
                      <w:sz w:val="18"/>
                      <w:szCs w:val="18"/>
                    </w:rPr>
                  </w:pPr>
                  <w:r w:rsidRPr="0026356B">
                    <w:rPr>
                      <w:rFonts w:ascii="宋体" w:eastAsia="宋体" w:hAnsi="宋体" w:cs="仿宋_GB2312" w:hint="eastAsia"/>
                      <w:b/>
                      <w:bCs/>
                      <w:sz w:val="18"/>
                      <w:szCs w:val="18"/>
                    </w:rPr>
                    <w:t>合格点或岗位数</w:t>
                  </w:r>
                </w:p>
              </w:tc>
              <w:tc>
                <w:tcPr>
                  <w:tcW w:w="1277" w:type="pct"/>
                  <w:vAlign w:val="center"/>
                </w:tcPr>
                <w:p w:rsidR="001F554F" w:rsidRPr="0026356B" w:rsidRDefault="001F554F" w:rsidP="00867991">
                  <w:pPr>
                    <w:spacing w:line="260" w:lineRule="exact"/>
                    <w:jc w:val="center"/>
                    <w:rPr>
                      <w:rFonts w:ascii="宋体" w:eastAsia="宋体" w:hAnsi="宋体" w:cs="仿宋_GB2312"/>
                      <w:b/>
                      <w:bCs/>
                      <w:sz w:val="18"/>
                      <w:szCs w:val="18"/>
                    </w:rPr>
                  </w:pPr>
                  <w:r w:rsidRPr="0026356B">
                    <w:rPr>
                      <w:rFonts w:ascii="宋体" w:eastAsia="宋体" w:hAnsi="宋体" w:cs="仿宋_GB2312" w:hint="eastAsia"/>
                      <w:b/>
                      <w:bCs/>
                      <w:sz w:val="18"/>
                      <w:szCs w:val="18"/>
                    </w:rPr>
                    <w:t>合格率%</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噪声8h等效声级</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7</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7</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硫化氢C</w:t>
                  </w:r>
                  <w:r w:rsidRPr="0026356B">
                    <w:rPr>
                      <w:rFonts w:ascii="宋体" w:eastAsia="宋体" w:hAnsi="宋体" w:cs="仿宋_GB2312" w:hint="eastAsia"/>
                      <w:sz w:val="18"/>
                      <w:szCs w:val="18"/>
                      <w:vertAlign w:val="subscript"/>
                    </w:rPr>
                    <w:t>MAC</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14</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14</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氨C</w:t>
                  </w:r>
                  <w:r w:rsidRPr="0026356B">
                    <w:rPr>
                      <w:rFonts w:ascii="宋体" w:eastAsia="宋体" w:hAnsi="宋体" w:cs="仿宋_GB2312" w:hint="eastAsia"/>
                      <w:sz w:val="18"/>
                      <w:szCs w:val="18"/>
                      <w:vertAlign w:val="subscript"/>
                    </w:rPr>
                    <w:t>STEL</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14</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14</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vertAlign w:val="subscript"/>
                    </w:rPr>
                  </w:pPr>
                  <w:r w:rsidRPr="0026356B">
                    <w:rPr>
                      <w:rFonts w:ascii="宋体" w:eastAsia="宋体" w:hAnsi="宋体" w:cs="仿宋_GB2312" w:hint="eastAsia"/>
                      <w:sz w:val="18"/>
                      <w:szCs w:val="18"/>
                    </w:rPr>
                    <w:t>氨C</w:t>
                  </w:r>
                  <w:r w:rsidRPr="0026356B">
                    <w:rPr>
                      <w:rFonts w:ascii="宋体" w:eastAsia="宋体" w:hAnsi="宋体" w:cs="仿宋_GB2312" w:hint="eastAsia"/>
                      <w:sz w:val="18"/>
                      <w:szCs w:val="18"/>
                      <w:vertAlign w:val="subscript"/>
                    </w:rPr>
                    <w:t>TWA</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7</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7</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氯C</w:t>
                  </w:r>
                  <w:r w:rsidRPr="0026356B">
                    <w:rPr>
                      <w:rFonts w:ascii="宋体" w:eastAsia="宋体" w:hAnsi="宋体" w:cs="仿宋_GB2312" w:hint="eastAsia"/>
                      <w:sz w:val="18"/>
                      <w:szCs w:val="18"/>
                      <w:vertAlign w:val="subscript"/>
                    </w:rPr>
                    <w:t>MAC</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trHeight w:val="387"/>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盐酸C</w:t>
                  </w:r>
                  <w:r w:rsidRPr="0026356B">
                    <w:rPr>
                      <w:rFonts w:ascii="宋体" w:eastAsia="宋体" w:hAnsi="宋体" w:cs="仿宋_GB2312" w:hint="eastAsia"/>
                      <w:sz w:val="18"/>
                      <w:szCs w:val="18"/>
                      <w:vertAlign w:val="subscript"/>
                    </w:rPr>
                    <w:t>MAC</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r w:rsidR="001F554F" w:rsidRPr="0026356B" w:rsidTr="00867991">
              <w:trPr>
                <w:jc w:val="center"/>
              </w:trPr>
              <w:tc>
                <w:tcPr>
                  <w:tcW w:w="1552" w:type="pct"/>
                  <w:vAlign w:val="center"/>
                </w:tcPr>
                <w:p w:rsidR="001F554F" w:rsidRPr="0026356B" w:rsidRDefault="001F554F" w:rsidP="00867991">
                  <w:pPr>
                    <w:spacing w:line="260" w:lineRule="exact"/>
                    <w:jc w:val="center"/>
                    <w:rPr>
                      <w:rFonts w:ascii="宋体" w:eastAsia="宋体" w:hAnsi="宋体" w:cs="仿宋_GB2312"/>
                      <w:sz w:val="18"/>
                      <w:szCs w:val="18"/>
                    </w:rPr>
                  </w:pPr>
                  <w:r w:rsidRPr="0026356B">
                    <w:rPr>
                      <w:rFonts w:ascii="宋体" w:eastAsia="宋体" w:hAnsi="宋体" w:cs="仿宋_GB2312" w:hint="eastAsia"/>
                      <w:sz w:val="18"/>
                      <w:szCs w:val="18"/>
                    </w:rPr>
                    <w:t>合计</w:t>
                  </w:r>
                </w:p>
              </w:tc>
              <w:tc>
                <w:tcPr>
                  <w:tcW w:w="1164"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3</w:t>
                  </w:r>
                </w:p>
              </w:tc>
              <w:tc>
                <w:tcPr>
                  <w:tcW w:w="100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3</w:t>
                  </w:r>
                </w:p>
              </w:tc>
              <w:tc>
                <w:tcPr>
                  <w:tcW w:w="1277" w:type="pct"/>
                  <w:vAlign w:val="center"/>
                </w:tcPr>
                <w:p w:rsidR="001F554F" w:rsidRPr="0026356B" w:rsidRDefault="001F554F" w:rsidP="00867991">
                  <w:pPr>
                    <w:spacing w:line="260" w:lineRule="exact"/>
                    <w:jc w:val="center"/>
                    <w:textAlignment w:val="center"/>
                    <w:rPr>
                      <w:rFonts w:ascii="宋体" w:eastAsia="宋体" w:hAnsi="宋体" w:cs="仿宋_GB2312"/>
                      <w:sz w:val="18"/>
                      <w:szCs w:val="18"/>
                    </w:rPr>
                  </w:pPr>
                  <w:r w:rsidRPr="0026356B">
                    <w:rPr>
                      <w:rFonts w:ascii="宋体" w:eastAsia="宋体" w:hAnsi="宋体" w:cs="仿宋_GB2312" w:hint="eastAsia"/>
                      <w:sz w:val="18"/>
                      <w:szCs w:val="18"/>
                    </w:rPr>
                    <w:t>100</w:t>
                  </w:r>
                </w:p>
              </w:tc>
            </w:tr>
          </w:tbl>
          <w:p w:rsidR="00962C39" w:rsidRPr="00BC6BE4" w:rsidRDefault="00962C39" w:rsidP="00962C39">
            <w:pPr>
              <w:spacing w:line="400" w:lineRule="exact"/>
              <w:rPr>
                <w:rFonts w:ascii="宋体" w:eastAsia="宋体" w:hAnsi="宋体"/>
                <w:szCs w:val="21"/>
              </w:rPr>
            </w:pPr>
          </w:p>
        </w:tc>
      </w:tr>
      <w:tr w:rsidR="00962C39" w:rsidRPr="00962C39" w:rsidTr="00BC6BE4">
        <w:trPr>
          <w:jc w:val="center"/>
        </w:trPr>
        <w:tc>
          <w:tcPr>
            <w:tcW w:w="846" w:type="dxa"/>
            <w:vMerge w:val="restart"/>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t>报告评价结论</w:t>
            </w:r>
          </w:p>
        </w:tc>
        <w:tc>
          <w:tcPr>
            <w:tcW w:w="1559" w:type="dxa"/>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t>结论</w:t>
            </w:r>
          </w:p>
        </w:tc>
        <w:tc>
          <w:tcPr>
            <w:tcW w:w="5891" w:type="dxa"/>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701"/>
              <w:gridCol w:w="1661"/>
            </w:tblGrid>
            <w:tr w:rsidR="001F554F" w:rsidRPr="0026356B" w:rsidTr="0026356B">
              <w:trPr>
                <w:tblHeader/>
                <w:jc w:val="center"/>
              </w:trPr>
              <w:tc>
                <w:tcPr>
                  <w:tcW w:w="2033" w:type="pct"/>
                  <w:vAlign w:val="center"/>
                </w:tcPr>
                <w:p w:rsidR="001F554F" w:rsidRPr="0026356B" w:rsidRDefault="001F554F" w:rsidP="00867991">
                  <w:pPr>
                    <w:jc w:val="center"/>
                    <w:rPr>
                      <w:rFonts w:ascii="宋体" w:eastAsia="宋体" w:hAnsi="宋体" w:cs="仿宋_GB2312"/>
                      <w:b/>
                      <w:sz w:val="18"/>
                      <w:szCs w:val="18"/>
                    </w:rPr>
                  </w:pPr>
                  <w:r w:rsidRPr="0026356B">
                    <w:rPr>
                      <w:rFonts w:ascii="宋体" w:eastAsia="宋体" w:hAnsi="宋体" w:cs="仿宋_GB2312" w:hint="eastAsia"/>
                      <w:b/>
                      <w:sz w:val="18"/>
                      <w:szCs w:val="18"/>
                    </w:rPr>
                    <w:t>项目</w:t>
                  </w:r>
                </w:p>
              </w:tc>
              <w:tc>
                <w:tcPr>
                  <w:tcW w:w="1501" w:type="pct"/>
                  <w:vAlign w:val="center"/>
                </w:tcPr>
                <w:p w:rsidR="001F554F" w:rsidRPr="0026356B" w:rsidRDefault="001F554F" w:rsidP="00867991">
                  <w:pPr>
                    <w:jc w:val="center"/>
                    <w:rPr>
                      <w:rFonts w:ascii="宋体" w:eastAsia="宋体" w:hAnsi="宋体" w:cs="仿宋_GB2312"/>
                      <w:b/>
                      <w:sz w:val="18"/>
                      <w:szCs w:val="18"/>
                    </w:rPr>
                  </w:pPr>
                  <w:r w:rsidRPr="0026356B">
                    <w:rPr>
                      <w:rFonts w:ascii="宋体" w:eastAsia="宋体" w:hAnsi="宋体" w:cs="仿宋_GB2312" w:hint="eastAsia"/>
                      <w:b/>
                      <w:sz w:val="18"/>
                      <w:szCs w:val="18"/>
                    </w:rPr>
                    <w:t>判断</w:t>
                  </w:r>
                </w:p>
              </w:tc>
              <w:tc>
                <w:tcPr>
                  <w:tcW w:w="1466" w:type="pct"/>
                  <w:vAlign w:val="center"/>
                </w:tcPr>
                <w:p w:rsidR="001F554F" w:rsidRPr="0026356B" w:rsidRDefault="001F554F" w:rsidP="00867991">
                  <w:pPr>
                    <w:jc w:val="center"/>
                    <w:rPr>
                      <w:rFonts w:ascii="宋体" w:eastAsia="宋体" w:hAnsi="宋体" w:cs="仿宋_GB2312"/>
                      <w:b/>
                      <w:sz w:val="18"/>
                      <w:szCs w:val="18"/>
                    </w:rPr>
                  </w:pPr>
                  <w:r w:rsidRPr="0026356B">
                    <w:rPr>
                      <w:rFonts w:ascii="宋体" w:eastAsia="宋体" w:hAnsi="宋体" w:cs="仿宋_GB2312" w:hint="eastAsia"/>
                      <w:b/>
                      <w:sz w:val="18"/>
                      <w:szCs w:val="18"/>
                    </w:rPr>
                    <w:t>存在问题简要说明</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1.总体布局</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2.设备布局</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lastRenderedPageBreak/>
                    <w:t>3.建筑卫生学</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4.职业病危害因素</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5.职业病防护设施</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6.应急救援设施</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不符合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未设置有喷淋洗装置</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7.职业健康监护</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不符合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未进行职业健康体检</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8.个人防护用品</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9.辅助用室</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10.职业卫生管理组织机构</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11.职业卫生管理制度</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12.职业病危害告知</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13.职业卫生培训</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w:t>
                  </w: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14.职业病危害项目申报</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符合</w:t>
                  </w:r>
                </w:p>
              </w:tc>
              <w:tc>
                <w:tcPr>
                  <w:tcW w:w="1466" w:type="pct"/>
                  <w:vAlign w:val="center"/>
                </w:tcPr>
                <w:p w:rsidR="001F554F" w:rsidRPr="0026356B" w:rsidRDefault="001F554F" w:rsidP="00867991">
                  <w:pPr>
                    <w:rPr>
                      <w:rFonts w:ascii="宋体" w:eastAsia="宋体" w:hAnsi="宋体" w:cs="仿宋_GB2312"/>
                      <w:bCs/>
                      <w:sz w:val="18"/>
                      <w:szCs w:val="18"/>
                    </w:rPr>
                  </w:pPr>
                </w:p>
              </w:tc>
            </w:tr>
            <w:tr w:rsidR="001F554F" w:rsidRPr="0026356B" w:rsidTr="0026356B">
              <w:trPr>
                <w:jc w:val="center"/>
              </w:trPr>
              <w:tc>
                <w:tcPr>
                  <w:tcW w:w="2033"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15.既往职业卫生评价建议落实情况</w:t>
                  </w:r>
                </w:p>
              </w:tc>
              <w:tc>
                <w:tcPr>
                  <w:tcW w:w="1501" w:type="pct"/>
                  <w:vAlign w:val="center"/>
                </w:tcPr>
                <w:p w:rsidR="001F554F" w:rsidRPr="0026356B" w:rsidRDefault="001F554F" w:rsidP="00867991">
                  <w:pPr>
                    <w:jc w:val="center"/>
                    <w:rPr>
                      <w:rFonts w:ascii="宋体" w:eastAsia="宋体" w:hAnsi="宋体" w:cs="仿宋_GB2312"/>
                      <w:bCs/>
                      <w:sz w:val="18"/>
                      <w:szCs w:val="18"/>
                    </w:rPr>
                  </w:pPr>
                  <w:r w:rsidRPr="0026356B">
                    <w:rPr>
                      <w:rFonts w:ascii="宋体" w:eastAsia="宋体" w:hAnsi="宋体" w:cs="仿宋_GB2312" w:hint="eastAsia"/>
                      <w:bCs/>
                      <w:sz w:val="18"/>
                      <w:szCs w:val="18"/>
                    </w:rPr>
                    <w:t>不涉及</w:t>
                  </w:r>
                </w:p>
              </w:tc>
              <w:tc>
                <w:tcPr>
                  <w:tcW w:w="1466" w:type="pct"/>
                  <w:vAlign w:val="center"/>
                </w:tcPr>
                <w:p w:rsidR="001F554F" w:rsidRPr="0026356B" w:rsidRDefault="001F554F" w:rsidP="00867991">
                  <w:pPr>
                    <w:rPr>
                      <w:rFonts w:ascii="宋体" w:eastAsia="宋体" w:hAnsi="宋体" w:cs="仿宋_GB2312"/>
                      <w:bCs/>
                      <w:sz w:val="18"/>
                      <w:szCs w:val="18"/>
                    </w:rPr>
                  </w:pPr>
                  <w:r w:rsidRPr="0026356B">
                    <w:rPr>
                      <w:rFonts w:ascii="宋体" w:eastAsia="宋体" w:hAnsi="宋体" w:cs="仿宋_GB2312" w:hint="eastAsia"/>
                      <w:bCs/>
                      <w:sz w:val="18"/>
                      <w:szCs w:val="18"/>
                    </w:rPr>
                    <w:t>用人单位既往未做过职业病危害检测与评价。</w:t>
                  </w:r>
                </w:p>
              </w:tc>
            </w:tr>
          </w:tbl>
          <w:p w:rsidR="00962C39" w:rsidRPr="00BC6BE4" w:rsidRDefault="001F554F" w:rsidP="0026356B">
            <w:pPr>
              <w:shd w:val="solid" w:color="FFFFFF" w:fill="auto"/>
              <w:autoSpaceDN w:val="0"/>
              <w:spacing w:line="240" w:lineRule="exact"/>
              <w:ind w:firstLineChars="100" w:firstLine="210"/>
              <w:rPr>
                <w:rFonts w:ascii="宋体" w:eastAsia="宋体" w:hAnsi="宋体" w:cs="仿宋_GB2312"/>
                <w:szCs w:val="21"/>
              </w:rPr>
            </w:pPr>
            <w:r w:rsidRPr="00BC6BE4">
              <w:rPr>
                <w:rFonts w:ascii="宋体" w:eastAsia="宋体" w:hAnsi="宋体" w:hint="eastAsia"/>
                <w:szCs w:val="21"/>
              </w:rPr>
              <w:t>根据《建设项目职业病危害风险分类管理目录》安监总安健〔</w:t>
            </w:r>
            <w:r w:rsidRPr="00BC6BE4">
              <w:rPr>
                <w:rFonts w:ascii="宋体" w:eastAsia="宋体" w:hAnsi="宋体"/>
                <w:szCs w:val="21"/>
              </w:rPr>
              <w:t>2012</w:t>
            </w:r>
            <w:r w:rsidRPr="00BC6BE4">
              <w:rPr>
                <w:rFonts w:ascii="宋体" w:eastAsia="宋体" w:hAnsi="宋体" w:hint="eastAsia"/>
                <w:szCs w:val="21"/>
              </w:rPr>
              <w:t>〕</w:t>
            </w:r>
            <w:r w:rsidRPr="00BC6BE4">
              <w:rPr>
                <w:rFonts w:ascii="宋体" w:eastAsia="宋体" w:hAnsi="宋体"/>
                <w:szCs w:val="21"/>
              </w:rPr>
              <w:t>73</w:t>
            </w:r>
            <w:r w:rsidRPr="00BC6BE4">
              <w:rPr>
                <w:rFonts w:ascii="宋体" w:eastAsia="宋体" w:hAnsi="宋体" w:hint="eastAsia"/>
                <w:szCs w:val="21"/>
              </w:rPr>
              <w:t>号相关规定，同时结合检测结果和职业性接触毒物危害程度分级结果综合分析，</w:t>
            </w:r>
            <w:r w:rsidRPr="00BC6BE4">
              <w:rPr>
                <w:rFonts w:ascii="宋体" w:eastAsia="宋体" w:hAnsi="宋体" w:cs="仿宋_GB2312" w:hint="eastAsia"/>
                <w:bCs/>
                <w:szCs w:val="21"/>
              </w:rPr>
              <w:t>用人单位</w:t>
            </w:r>
            <w:r w:rsidRPr="00BC6BE4">
              <w:rPr>
                <w:rFonts w:ascii="宋体" w:eastAsia="宋体" w:hAnsi="宋体" w:hint="eastAsia"/>
                <w:szCs w:val="21"/>
              </w:rPr>
              <w:t>属于水的生产和供应业中的“污水处理及其再生利用”，其职业病危害风险分类为较重</w:t>
            </w:r>
            <w:r w:rsidRPr="00BC6BE4">
              <w:rPr>
                <w:rFonts w:ascii="宋体" w:eastAsia="宋体" w:hAnsi="宋体" w:cs="仿宋_GB2312" w:hint="eastAsia"/>
                <w:szCs w:val="21"/>
              </w:rPr>
              <w:t>。</w:t>
            </w:r>
          </w:p>
        </w:tc>
      </w:tr>
      <w:tr w:rsidR="00962C39" w:rsidRPr="00962C39" w:rsidTr="00BC6BE4">
        <w:trPr>
          <w:jc w:val="center"/>
        </w:trPr>
        <w:tc>
          <w:tcPr>
            <w:tcW w:w="846" w:type="dxa"/>
            <w:vMerge/>
            <w:vAlign w:val="center"/>
          </w:tcPr>
          <w:p w:rsidR="00962C39" w:rsidRPr="00BC6BE4" w:rsidRDefault="00962C39" w:rsidP="00962C39">
            <w:pPr>
              <w:spacing w:line="400" w:lineRule="exact"/>
              <w:rPr>
                <w:rFonts w:ascii="宋体" w:eastAsia="宋体" w:hAnsi="宋体"/>
                <w:szCs w:val="21"/>
              </w:rPr>
            </w:pPr>
          </w:p>
        </w:tc>
        <w:tc>
          <w:tcPr>
            <w:tcW w:w="1559" w:type="dxa"/>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t>建议</w:t>
            </w:r>
          </w:p>
        </w:tc>
        <w:tc>
          <w:tcPr>
            <w:tcW w:w="5891" w:type="dxa"/>
            <w:vAlign w:val="center"/>
          </w:tcPr>
          <w:p w:rsidR="001F554F" w:rsidRPr="0026356B" w:rsidRDefault="001F554F" w:rsidP="0026356B">
            <w:pPr>
              <w:autoSpaceDE w:val="0"/>
              <w:spacing w:line="240" w:lineRule="exact"/>
              <w:ind w:firstLineChars="100" w:firstLine="210"/>
              <w:outlineLvl w:val="1"/>
              <w:rPr>
                <w:rFonts w:ascii="宋体" w:eastAsia="宋体" w:hAnsi="宋体" w:cs="仿宋_GB2312"/>
                <w:szCs w:val="21"/>
              </w:rPr>
            </w:pPr>
            <w:bookmarkStart w:id="0" w:name="_Toc381"/>
            <w:bookmarkStart w:id="1" w:name="_Toc59704579"/>
            <w:r w:rsidRPr="0026356B">
              <w:rPr>
                <w:rFonts w:ascii="宋体" w:eastAsia="宋体" w:hAnsi="宋体" w:cs="仿宋_GB2312" w:hint="eastAsia"/>
                <w:szCs w:val="21"/>
              </w:rPr>
              <w:t>1</w:t>
            </w:r>
            <w:r w:rsidR="0026356B">
              <w:rPr>
                <w:rFonts w:ascii="宋体" w:eastAsia="宋体" w:hAnsi="宋体" w:cs="仿宋_GB2312"/>
                <w:szCs w:val="21"/>
              </w:rPr>
              <w:t>.</w:t>
            </w:r>
            <w:r w:rsidRPr="0026356B">
              <w:rPr>
                <w:rFonts w:ascii="宋体" w:eastAsia="宋体" w:hAnsi="宋体" w:cs="仿宋_GB2312" w:hint="eastAsia"/>
                <w:szCs w:val="21"/>
              </w:rPr>
              <w:t>职业病防治存在的不足</w:t>
            </w:r>
            <w:bookmarkEnd w:id="0"/>
            <w:bookmarkEnd w:id="1"/>
          </w:p>
          <w:p w:rsidR="001F554F" w:rsidRPr="0026356B" w:rsidRDefault="001F554F" w:rsidP="0026356B">
            <w:pPr>
              <w:widowControl/>
              <w:numPr>
                <w:ilvl w:val="0"/>
                <w:numId w:val="3"/>
              </w:numPr>
              <w:spacing w:line="240" w:lineRule="exact"/>
              <w:ind w:firstLineChars="100" w:firstLine="210"/>
              <w:rPr>
                <w:rFonts w:ascii="宋体" w:eastAsia="宋体" w:hAnsi="宋体" w:cs="仿宋_GB2312"/>
                <w:szCs w:val="21"/>
              </w:rPr>
            </w:pPr>
            <w:bookmarkStart w:id="2" w:name="_Toc10918"/>
            <w:bookmarkStart w:id="3" w:name="_Toc24824"/>
            <w:r w:rsidRPr="0026356B">
              <w:rPr>
                <w:rFonts w:ascii="宋体" w:eastAsia="宋体" w:hAnsi="宋体" w:cs="仿宋_GB2312" w:hint="eastAsia"/>
                <w:szCs w:val="21"/>
              </w:rPr>
              <w:t>未进行职业健康体检。</w:t>
            </w:r>
          </w:p>
          <w:p w:rsidR="001F554F" w:rsidRPr="0026356B" w:rsidRDefault="001F554F" w:rsidP="0026356B">
            <w:pPr>
              <w:pStyle w:val="20"/>
              <w:spacing w:line="240" w:lineRule="exact"/>
              <w:ind w:firstLineChars="100" w:firstLine="210"/>
              <w:rPr>
                <w:rFonts w:hint="default"/>
                <w:sz w:val="21"/>
                <w:szCs w:val="21"/>
              </w:rPr>
            </w:pPr>
            <w:r w:rsidRPr="0026356B">
              <w:rPr>
                <w:rFonts w:cs="仿宋_GB2312"/>
                <w:sz w:val="21"/>
                <w:szCs w:val="21"/>
              </w:rPr>
              <w:t>（2）在加氯间未设置有喷淋洗眼装置。</w:t>
            </w:r>
          </w:p>
          <w:p w:rsidR="001F554F" w:rsidRPr="0026356B" w:rsidRDefault="0026356B" w:rsidP="0026356B">
            <w:pPr>
              <w:autoSpaceDE w:val="0"/>
              <w:spacing w:line="240" w:lineRule="exact"/>
              <w:ind w:firstLineChars="100" w:firstLine="210"/>
              <w:outlineLvl w:val="1"/>
              <w:rPr>
                <w:rFonts w:ascii="宋体" w:eastAsia="宋体" w:hAnsi="宋体" w:cs="仿宋_GB2312"/>
                <w:szCs w:val="21"/>
              </w:rPr>
            </w:pPr>
            <w:bookmarkStart w:id="4" w:name="_Toc59704580"/>
            <w:r>
              <w:rPr>
                <w:rFonts w:ascii="宋体" w:eastAsia="宋体" w:hAnsi="宋体" w:cs="仿宋_GB2312"/>
                <w:szCs w:val="21"/>
              </w:rPr>
              <w:t>2.</w:t>
            </w:r>
            <w:r w:rsidR="001F554F" w:rsidRPr="0026356B">
              <w:rPr>
                <w:rFonts w:ascii="宋体" w:eastAsia="宋体" w:hAnsi="宋体" w:cs="仿宋_GB2312" w:hint="eastAsia"/>
                <w:szCs w:val="21"/>
              </w:rPr>
              <w:t>职业病危害控制的补充措施</w:t>
            </w:r>
            <w:bookmarkEnd w:id="2"/>
            <w:bookmarkEnd w:id="3"/>
            <w:bookmarkEnd w:id="4"/>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经过对该用人单位全面分析和评价，结合法律、法规、标准、规范要求，针对现阶段职业病防治方面存在的问题，提出控制职业病危害的补充措施。</w:t>
            </w:r>
          </w:p>
          <w:p w:rsidR="001F554F" w:rsidRPr="0026356B" w:rsidRDefault="001F554F" w:rsidP="0026356B">
            <w:pPr>
              <w:autoSpaceDE w:val="0"/>
              <w:spacing w:line="240" w:lineRule="exact"/>
              <w:ind w:firstLineChars="100" w:firstLine="210"/>
              <w:outlineLvl w:val="2"/>
              <w:rPr>
                <w:rFonts w:ascii="宋体" w:eastAsia="宋体" w:hAnsi="宋体" w:cs="仿宋_GB2312"/>
                <w:szCs w:val="21"/>
              </w:rPr>
            </w:pPr>
            <w:bookmarkStart w:id="5" w:name="_Toc4604"/>
            <w:bookmarkStart w:id="6" w:name="_Toc59704581"/>
            <w:r w:rsidRPr="0026356B">
              <w:rPr>
                <w:rFonts w:ascii="宋体" w:eastAsia="宋体" w:hAnsi="宋体" w:cs="仿宋_GB2312" w:hint="eastAsia"/>
                <w:szCs w:val="21"/>
              </w:rPr>
              <w:t>2.1组织管理</w:t>
            </w:r>
            <w:bookmarkEnd w:id="5"/>
            <w:r w:rsidRPr="0026356B">
              <w:rPr>
                <w:rFonts w:ascii="宋体" w:eastAsia="宋体" w:hAnsi="宋体" w:cs="仿宋_GB2312" w:hint="eastAsia"/>
                <w:szCs w:val="21"/>
              </w:rPr>
              <w:t>（持续改进性）</w:t>
            </w:r>
            <w:bookmarkEnd w:id="6"/>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（1）应加强职业卫生管理，确保各项制度得到有效的执行，切实保护劳动者健康。</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（2）加强职工岗位操作规程培训，避免人为降低防毒设施效率的操作。</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（3）在今后的工作中，加强职业卫生培训的力度及频度。</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（4）及时清理各操作间内积尘，减少二次扬尘造成的影响。</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（5）夏季作业时，供给作业人员含盐饮料和补充营养，每人每天3-5升含盐饮料，饮料含盐量以0.15%～0.2%为宜。</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（6）应加强现场管理，做好设备设施和职业病防护设施的维护保养。同时做好设备设施和职业病防护设施维护保养记录。</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（7）应不断完善职业卫生管理制度特别是日常检测等。</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（8）用人单位</w:t>
            </w:r>
            <w:r w:rsidRPr="0026356B">
              <w:rPr>
                <w:rFonts w:ascii="宋体" w:hAnsi="宋体" w:hint="eastAsia"/>
                <w:sz w:val="21"/>
                <w:szCs w:val="21"/>
              </w:rPr>
              <w:t>应重视检修作业和有限空间/受限空间作业的急性职业损伤的风险。</w:t>
            </w:r>
            <w:r w:rsidRPr="0026356B">
              <w:rPr>
                <w:rFonts w:ascii="宋体" w:hAnsi="宋体" w:cs="仿宋_GB2312" w:hint="eastAsia"/>
                <w:sz w:val="21"/>
                <w:szCs w:val="21"/>
              </w:rPr>
              <w:t>涉及密闭空间作业，应制定完善的检维修安全防护制度及操作规程，防止中毒和窒息。进入密闭空间内进行的作业，必须高度重视以下措施：</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1）可靠隔离</w:t>
            </w:r>
          </w:p>
          <w:p w:rsidR="00962C39" w:rsidRPr="0026356B" w:rsidRDefault="001F554F" w:rsidP="0026356B">
            <w:pPr>
              <w:autoSpaceDE w:val="0"/>
              <w:autoSpaceDN w:val="0"/>
              <w:adjustRightInd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进入受限空间作业的设备必须和其它设备、管道可靠隔离，绝不允许其它系统的介质进入所作业的空间。</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2）置换合格</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进入前必须进行机械通风置换，并对受限空间空气中氧含量进行分析、测定。受限空间动火作业除了受限空间空气中的可燃物含量符合动火规定外，氧含量应在</w:t>
            </w:r>
            <w:r w:rsidRPr="0026356B">
              <w:rPr>
                <w:rFonts w:ascii="宋体" w:hAnsi="宋体" w:cs="仿宋_GB2312" w:hint="eastAsia"/>
                <w:sz w:val="21"/>
                <w:szCs w:val="21"/>
              </w:rPr>
              <w:lastRenderedPageBreak/>
              <w:t>18～21%的范围。如果受限空间介质为有毒物，还应测定受限空间空气中有毒物质的浓度并达安全要求。动火分析合格，不等于满足防毒要求。必要时应佩戴防毒全面罩、空呼等防护用品。</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3）监护</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受限空间作业应指派两人以上作监护，根据现场情况配置必要的防毒面具、氧气呼吸器、安全带等。</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4）用电安全</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受限空间作业照明，使用的电动工具必须是安全电压，并有可靠接地；如果有可燃物存在还必须符合防爆要求。</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5）个人防护</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受限空间作业人员必须穿戴好工作服，防毒面具等。</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6）急救措施</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根据受限空间的容积和形状、作业危险性和介质性质，作好相应的急救器材和药品的准备工作。</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7）入受限空间前必须按规定办理审批手续。准入证的格式应符合GBZ/T205的要求。</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（9）加强个人防护用品管理，主要包括个人防护用品的采购、正确使用的培训、发放记录、更换记录等内容。</w:t>
            </w:r>
          </w:p>
          <w:p w:rsidR="001F554F" w:rsidRPr="0026356B" w:rsidRDefault="001F554F" w:rsidP="0026356B">
            <w:pPr>
              <w:shd w:val="solid" w:color="FFFFFF" w:fill="auto"/>
              <w:autoSpaceDN w:val="0"/>
              <w:spacing w:line="240" w:lineRule="exact"/>
              <w:ind w:firstLineChars="100" w:firstLine="210"/>
              <w:outlineLvl w:val="2"/>
              <w:rPr>
                <w:rFonts w:ascii="宋体" w:eastAsia="宋体" w:hAnsi="宋体" w:cs="仿宋_GB2312"/>
                <w:szCs w:val="21"/>
              </w:rPr>
            </w:pPr>
            <w:bookmarkStart w:id="7" w:name="_Toc28592"/>
            <w:bookmarkStart w:id="8" w:name="_Toc59704582"/>
            <w:r w:rsidRPr="0026356B">
              <w:rPr>
                <w:rFonts w:ascii="宋体" w:eastAsia="宋体" w:hAnsi="宋体" w:cs="仿宋_GB2312" w:hint="eastAsia"/>
                <w:szCs w:val="21"/>
              </w:rPr>
              <w:t>2.2工程技术</w:t>
            </w:r>
            <w:bookmarkEnd w:id="7"/>
            <w:bookmarkEnd w:id="8"/>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定期对次加氯间加氯装置的设备、管道等进行检修维护，并做好相关记录，确保其正常有效运行，避免泄漏。</w:t>
            </w:r>
          </w:p>
          <w:p w:rsidR="001F554F" w:rsidRPr="0026356B" w:rsidRDefault="001F554F" w:rsidP="0026356B">
            <w:pPr>
              <w:shd w:val="solid" w:color="FFFFFF" w:fill="auto"/>
              <w:autoSpaceDN w:val="0"/>
              <w:spacing w:line="240" w:lineRule="exact"/>
              <w:ind w:firstLineChars="100" w:firstLine="210"/>
              <w:outlineLvl w:val="2"/>
              <w:rPr>
                <w:rFonts w:ascii="宋体" w:eastAsia="宋体" w:hAnsi="宋体" w:cs="仿宋_GB2312"/>
                <w:szCs w:val="21"/>
              </w:rPr>
            </w:pPr>
            <w:bookmarkStart w:id="9" w:name="_Toc59704584"/>
            <w:r w:rsidRPr="0026356B">
              <w:rPr>
                <w:rFonts w:ascii="宋体" w:eastAsia="宋体" w:hAnsi="宋体" w:cs="仿宋_GB2312" w:hint="eastAsia"/>
                <w:szCs w:val="21"/>
              </w:rPr>
              <w:t>2.3个体防护</w:t>
            </w:r>
            <w:bookmarkEnd w:id="9"/>
          </w:p>
          <w:p w:rsidR="001F554F" w:rsidRPr="0026356B" w:rsidRDefault="001F554F" w:rsidP="0026356B">
            <w:pPr>
              <w:pStyle w:val="ac"/>
              <w:spacing w:after="0" w:line="240" w:lineRule="exact"/>
              <w:ind w:leftChars="0" w:left="0" w:rightChars="0" w:firstLineChars="100" w:firstLine="210"/>
              <w:rPr>
                <w:rFonts w:ascii="宋体" w:hAnsi="宋体" w:cs="仿宋_GB2312"/>
                <w:sz w:val="21"/>
                <w:szCs w:val="21"/>
              </w:rPr>
            </w:pPr>
            <w:r w:rsidRPr="0026356B">
              <w:rPr>
                <w:rFonts w:ascii="宋体" w:hAnsi="宋体" w:cs="仿宋_GB2312" w:hint="eastAsia"/>
                <w:sz w:val="21"/>
                <w:szCs w:val="21"/>
              </w:rPr>
              <w:t>2.3.1整改性措施</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（1）建议用人单位按照“失效即换新”的原则确定个人防护用品的更换周期，不强制规定发新用品的时间。</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（2）建立和完善职业病防护用品管理制度，加强对个人防护用品使用的监督检查管理机制，督促作业人员自觉佩戴职业病防护用品，并定期检查防护效果，及时更换失效的防护用品。</w:t>
            </w:r>
          </w:p>
          <w:p w:rsidR="001F554F" w:rsidRPr="0026356B" w:rsidRDefault="001F554F" w:rsidP="0026356B">
            <w:pPr>
              <w:shd w:val="solid" w:color="FFFFFF" w:fill="auto"/>
              <w:autoSpaceDN w:val="0"/>
              <w:spacing w:line="240" w:lineRule="exact"/>
              <w:ind w:firstLineChars="100" w:firstLine="210"/>
              <w:outlineLvl w:val="2"/>
              <w:rPr>
                <w:rFonts w:ascii="宋体" w:eastAsia="宋体" w:hAnsi="宋体" w:cs="仿宋_GB2312"/>
                <w:szCs w:val="21"/>
              </w:rPr>
            </w:pPr>
            <w:bookmarkStart w:id="10" w:name="_Toc59704585"/>
            <w:r w:rsidRPr="0026356B">
              <w:rPr>
                <w:rFonts w:ascii="宋体" w:eastAsia="宋体" w:hAnsi="宋体" w:cs="仿宋_GB2312" w:hint="eastAsia"/>
                <w:szCs w:val="21"/>
              </w:rPr>
              <w:t>2.4应急救援</w:t>
            </w:r>
            <w:bookmarkEnd w:id="10"/>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（1）用人单位应针对氯气中毒事故制定专项应急预案，明确应急组织机构、人员、设备和应急措施。</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（2）用人单位应对员工进行应急救援知识培训，针对氯气中毒事故进行应急演练。</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（3）建议定期对事故柜内配备的应急救援设施（防毒面具、空气呼吸器等）进行检查或检定，确保其有效可用。</w:t>
            </w:r>
          </w:p>
          <w:p w:rsidR="001F554F" w:rsidRPr="0026356B" w:rsidRDefault="001F554F" w:rsidP="0026356B">
            <w:pPr>
              <w:pStyle w:val="20"/>
              <w:spacing w:line="240" w:lineRule="exact"/>
              <w:ind w:firstLineChars="100" w:firstLine="210"/>
              <w:rPr>
                <w:rFonts w:hint="default"/>
                <w:sz w:val="21"/>
                <w:szCs w:val="21"/>
              </w:rPr>
            </w:pPr>
            <w:r w:rsidRPr="0026356B">
              <w:rPr>
                <w:sz w:val="21"/>
                <w:szCs w:val="21"/>
              </w:rPr>
              <w:t>（4）建议在加药间及加氯间设置</w:t>
            </w:r>
            <w:r w:rsidRPr="0026356B">
              <w:rPr>
                <w:rFonts w:cs="仿宋_GB2312"/>
                <w:sz w:val="21"/>
                <w:szCs w:val="21"/>
              </w:rPr>
              <w:t>喷淋洗眼装置</w:t>
            </w:r>
            <w:r w:rsidRPr="0026356B">
              <w:rPr>
                <w:sz w:val="21"/>
                <w:szCs w:val="21"/>
              </w:rPr>
              <w:t>，服务半径不大于15m。</w:t>
            </w:r>
          </w:p>
          <w:p w:rsidR="001F554F" w:rsidRPr="0026356B" w:rsidRDefault="001F554F" w:rsidP="0026356B">
            <w:pPr>
              <w:shd w:val="solid" w:color="FFFFFF" w:fill="auto"/>
              <w:autoSpaceDN w:val="0"/>
              <w:spacing w:line="240" w:lineRule="exact"/>
              <w:ind w:firstLineChars="100" w:firstLine="210"/>
              <w:outlineLvl w:val="2"/>
              <w:rPr>
                <w:rFonts w:ascii="宋体" w:eastAsia="宋体" w:hAnsi="宋体" w:cs="仿宋_GB2312"/>
                <w:szCs w:val="21"/>
              </w:rPr>
            </w:pPr>
            <w:bookmarkStart w:id="11" w:name="_Toc59704586"/>
            <w:r w:rsidRPr="0026356B">
              <w:rPr>
                <w:rFonts w:ascii="宋体" w:eastAsia="宋体" w:hAnsi="宋体" w:cs="仿宋_GB2312" w:hint="eastAsia"/>
                <w:szCs w:val="21"/>
              </w:rPr>
              <w:t>2.5职业健康</w:t>
            </w:r>
            <w:bookmarkEnd w:id="11"/>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应按照《用人单位职业健康监护监督管理办法》国家安全生产监督管理总局令〔2012〕第49号的要求，依据《职业健康监护技术规范》GBZ188-2014中的内容，严格执行上岗前、在岗期间、离岗时的职业体检制度，同时还应进一步明确接触职业病危害作业人员职业健康检查项目及周期，体检项目应与所在岗位接害因素相吻合。</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根据职业健康检查报告，采取下列措施：</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（1）对有职业禁忌的劳动者，调离或者暂时脱离原工作岗位；</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（2）对健康损害可能与所从事的职业相关的劳动者，进行妥善安置；</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（3）对需要复查的劳动者，按照职业健康检查机构要求的时间安排复查和医学观察；</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lastRenderedPageBreak/>
              <w:t>（4）对疑似职业病病人，按照职业健康检查机构的建议安排其进行医学观察或者职业病诊断；</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（5）对确诊的职业病病人，按《工伤保险条例》相关要求，落实工伤保险待遇。同时上报安全生产监督管理部门；</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（6）对存在职业病危害的岗位，立即改善劳动条件，完善职业病防护设施，为劳动者配备符合国家标准的职业病危害防护用品。</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（7）职业健康监护档案</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用人单位应当为劳动者个人建立职业健康监护档案，一人一档。并按照有关规定妥善保存。劳动者离开企业时，有权索取本人职业健康监护档案复印件，企业应如实、无偿提供，并在所提供的复印件上签章。</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用人单位发生分立、合并、解散、破产等情况时，其职业健康监护档案应当依照国家有关规定实施移交保管。</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（8）职业禁忌症、疑似职业病和职业病病人的处置</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企业应当根据职业健康检查报告，采取下列措施：（一）对有职业禁忌的劳动者，调离或者暂时脱离原工作岗位；（二）对健康损害可能与所从事的职业相关的劳动者，进行妥善安置；（三）对需要复查的劳动者，按照职业健康检查机构要求的时间安排复查和医学观察；（四）对疑似职业病病人，按照职业健康检查机构的建议安排其进行医学观察或者职业病诊断；（五）对存在职业病危害的岗位，立即改善劳动条件，完善职业病防护设施，为劳动者配备符合国家标准的职业病危害防护用品。</w:t>
            </w:r>
          </w:p>
          <w:p w:rsidR="001F554F" w:rsidRPr="0026356B" w:rsidRDefault="001F554F" w:rsidP="0026356B">
            <w:pPr>
              <w:pStyle w:val="ac"/>
              <w:spacing w:after="0" w:line="240" w:lineRule="exact"/>
              <w:ind w:leftChars="0" w:left="0" w:rightChars="0" w:firstLineChars="100" w:firstLine="210"/>
              <w:jc w:val="both"/>
              <w:rPr>
                <w:rFonts w:ascii="宋体" w:hAnsi="宋体" w:cs="仿宋_GB2312"/>
                <w:sz w:val="21"/>
                <w:szCs w:val="21"/>
              </w:rPr>
            </w:pPr>
            <w:r w:rsidRPr="0026356B">
              <w:rPr>
                <w:rFonts w:ascii="宋体" w:hAnsi="宋体" w:cs="仿宋_GB2312" w:hint="eastAsia"/>
                <w:sz w:val="21"/>
                <w:szCs w:val="21"/>
              </w:rPr>
              <w:t>依据相关法律法规标准规范进一步完善职业卫生监护档案和建立职工听力保护档案等。主要内容应包括职工职业史、既往史和职业病危害接触史；相应工作场所职业病危害因素监测结果；职业健康检查结果及处理情况；职业病诊疗等劳动者健康资料。</w:t>
            </w:r>
          </w:p>
          <w:p w:rsidR="001F554F" w:rsidRPr="0026356B" w:rsidRDefault="001F554F" w:rsidP="0026356B">
            <w:pPr>
              <w:shd w:val="solid" w:color="FFFFFF" w:fill="auto"/>
              <w:autoSpaceDN w:val="0"/>
              <w:spacing w:line="240" w:lineRule="exact"/>
              <w:ind w:firstLineChars="100" w:firstLine="210"/>
              <w:rPr>
                <w:rFonts w:ascii="宋体" w:eastAsia="宋体" w:hAnsi="宋体" w:cs="仿宋_GB2312"/>
                <w:szCs w:val="21"/>
              </w:rPr>
            </w:pPr>
            <w:r w:rsidRPr="0026356B">
              <w:rPr>
                <w:rFonts w:ascii="宋体" w:eastAsia="宋体" w:hAnsi="宋体" w:cs="仿宋_GB2312" w:hint="eastAsia"/>
                <w:szCs w:val="21"/>
              </w:rPr>
              <w:t>（9）组织劳动者进行职业健康检查时应按《职业健康监护技术规范》GBZ188-2014中相关条款要求：</w:t>
            </w:r>
          </w:p>
          <w:p w:rsidR="001F554F" w:rsidRPr="0026356B" w:rsidRDefault="001F554F" w:rsidP="0026356B">
            <w:pPr>
              <w:shd w:val="solid" w:color="FFFFFF" w:fill="auto"/>
              <w:autoSpaceDN w:val="0"/>
              <w:spacing w:line="240" w:lineRule="exact"/>
              <w:ind w:firstLineChars="100" w:firstLine="210"/>
              <w:jc w:val="center"/>
              <w:rPr>
                <w:rFonts w:ascii="宋体" w:eastAsia="宋体" w:hAnsi="宋体" w:cs="仿宋_GB2312"/>
                <w:szCs w:val="21"/>
              </w:rPr>
            </w:pPr>
            <w:r w:rsidRPr="0026356B">
              <w:rPr>
                <w:rFonts w:ascii="宋体" w:eastAsia="宋体" w:hAnsi="宋体" w:cs="仿宋_GB2312" w:hint="eastAsia"/>
                <w:szCs w:val="21"/>
              </w:rPr>
              <w:t>职业健康检查检查项目及周期</w:t>
            </w:r>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1842"/>
              <w:gridCol w:w="1843"/>
              <w:gridCol w:w="1237"/>
            </w:tblGrid>
            <w:tr w:rsidR="001F554F" w:rsidRPr="0026356B" w:rsidTr="0026356B">
              <w:trPr>
                <w:tblHeader/>
                <w:jc w:val="center"/>
              </w:trPr>
              <w:tc>
                <w:tcPr>
                  <w:tcW w:w="658"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bookmarkStart w:id="12" w:name="_Toc516663819"/>
                  <w:bookmarkStart w:id="13" w:name="_Toc437345870"/>
                  <w:bookmarkStart w:id="14" w:name="_Toc431218732"/>
                  <w:r w:rsidRPr="0026356B">
                    <w:rPr>
                      <w:rFonts w:ascii="宋体" w:eastAsia="宋体" w:hAnsi="宋体" w:cs="仿宋_GB2312" w:hint="eastAsia"/>
                      <w:sz w:val="18"/>
                      <w:szCs w:val="18"/>
                    </w:rPr>
                    <w:t>危害因素</w:t>
                  </w:r>
                </w:p>
              </w:tc>
              <w:tc>
                <w:tcPr>
                  <w:tcW w:w="1625"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岗前体检查项目</w:t>
                  </w:r>
                </w:p>
              </w:tc>
              <w:tc>
                <w:tcPr>
                  <w:tcW w:w="1626"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在岗期检查项目</w:t>
                  </w:r>
                </w:p>
              </w:tc>
              <w:tc>
                <w:tcPr>
                  <w:tcW w:w="1091"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体检周期</w:t>
                  </w:r>
                </w:p>
              </w:tc>
            </w:tr>
            <w:tr w:rsidR="001F554F" w:rsidRPr="0026356B" w:rsidTr="0026356B">
              <w:trPr>
                <w:jc w:val="center"/>
              </w:trPr>
              <w:tc>
                <w:tcPr>
                  <w:tcW w:w="658"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噪声</w:t>
                  </w:r>
                </w:p>
              </w:tc>
              <w:tc>
                <w:tcPr>
                  <w:tcW w:w="1625"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内科常规检查、耳科常规检查。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血常规、尿常规、心电图、血清ALT、纯音听阈测试。</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选检项目：</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声导抗、耳声发射。</w:t>
                  </w:r>
                </w:p>
              </w:tc>
              <w:tc>
                <w:tcPr>
                  <w:tcW w:w="1626"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内科常规检查、耳科常规检查。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纯音气导听阈测试、心电图。</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选检项目：</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纯音骨导听阈测试、声导抗、耳声发射、听觉诱发电反映测试。</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（离岗时检查项目与在岗期间检查项目相同）</w:t>
                  </w:r>
                </w:p>
              </w:tc>
              <w:tc>
                <w:tcPr>
                  <w:tcW w:w="1091"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（1）作业场所噪声8h等效声级≥85 dB，1年1次。</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（2）作业场所噪声8h等效声级≥80 dB，&lt;85 dB，2年一次。</w:t>
                  </w:r>
                </w:p>
              </w:tc>
            </w:tr>
            <w:tr w:rsidR="001F554F" w:rsidRPr="0026356B" w:rsidTr="0026356B">
              <w:trPr>
                <w:jc w:val="center"/>
              </w:trPr>
              <w:tc>
                <w:tcPr>
                  <w:tcW w:w="658"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氯气</w:t>
                  </w:r>
                </w:p>
              </w:tc>
              <w:tc>
                <w:tcPr>
                  <w:tcW w:w="1625"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体格检查：内科常规检查，重点检查呼吸系统</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必检项目：血常规、尿常规、心电图、血清ALT、胸部X射线</w:t>
                  </w:r>
                  <w:r w:rsidRPr="0026356B">
                    <w:rPr>
                      <w:rFonts w:ascii="宋体" w:eastAsia="宋体" w:hAnsi="宋体" w:cs="仿宋_GB2312" w:hint="eastAsia"/>
                      <w:sz w:val="18"/>
                      <w:szCs w:val="18"/>
                    </w:rPr>
                    <w:lastRenderedPageBreak/>
                    <w:t>摄片、肺功能选检项目：肺弥散功能</w:t>
                  </w:r>
                </w:p>
              </w:tc>
              <w:tc>
                <w:tcPr>
                  <w:tcW w:w="1626"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lastRenderedPageBreak/>
                    <w:t>体格检查：内科常规检查，重点检查呼吸系统</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必检项目：血常规、尿常规、心电图、血清ALT、胸部X射线</w:t>
                  </w:r>
                  <w:r w:rsidRPr="0026356B">
                    <w:rPr>
                      <w:rFonts w:ascii="宋体" w:eastAsia="宋体" w:hAnsi="宋体" w:cs="仿宋_GB2312" w:hint="eastAsia"/>
                      <w:sz w:val="18"/>
                      <w:szCs w:val="18"/>
                    </w:rPr>
                    <w:lastRenderedPageBreak/>
                    <w:t>摄片、肺功能选检项目：肺弥散功能（离岗时检查项目与在岗期间检查项目相同）</w:t>
                  </w:r>
                </w:p>
              </w:tc>
              <w:tc>
                <w:tcPr>
                  <w:tcW w:w="1091"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lastRenderedPageBreak/>
                    <w:t>健康检查周期：1年</w:t>
                  </w:r>
                </w:p>
              </w:tc>
            </w:tr>
            <w:tr w:rsidR="001F554F" w:rsidRPr="0026356B" w:rsidTr="0026356B">
              <w:trPr>
                <w:jc w:val="center"/>
              </w:trPr>
              <w:tc>
                <w:tcPr>
                  <w:tcW w:w="658"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硫化氢</w:t>
                  </w:r>
                </w:p>
              </w:tc>
              <w:tc>
                <w:tcPr>
                  <w:tcW w:w="1625"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体格检查：内科常规检查，神经系统常规检查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必检项目：血常规、尿常规、心电图、血清ALT、选检项目：胸部X射线摄片</w:t>
                  </w:r>
                </w:p>
              </w:tc>
              <w:tc>
                <w:tcPr>
                  <w:tcW w:w="1626"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体格检查：内科常规检查，神经系统常规检查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必检项目：血常规、尿常规、心电图、血清ALT、、选检项目：胸部X射线摄片</w:t>
                  </w:r>
                </w:p>
              </w:tc>
              <w:tc>
                <w:tcPr>
                  <w:tcW w:w="1091"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健康检查周期：3年</w:t>
                  </w:r>
                </w:p>
              </w:tc>
            </w:tr>
            <w:tr w:rsidR="001F554F" w:rsidRPr="0026356B" w:rsidTr="0026356B">
              <w:trPr>
                <w:jc w:val="center"/>
              </w:trPr>
              <w:tc>
                <w:tcPr>
                  <w:tcW w:w="658"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氨</w:t>
                  </w:r>
                </w:p>
              </w:tc>
              <w:tc>
                <w:tcPr>
                  <w:tcW w:w="1625"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体格检查：内科常规检查，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必检项目：血常规、尿常规、心电图、血清ALT、胸部X射线摄片、肺功能</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选检项目：肺弥散功能</w:t>
                  </w:r>
                </w:p>
              </w:tc>
              <w:tc>
                <w:tcPr>
                  <w:tcW w:w="1626"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体格检查：内科常规检查，</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必检项目：血常规、尿常规、心电图、血清ALT、胸部X射线摄片、肺功能</w:t>
                  </w:r>
                </w:p>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选检项目：肺弥散功能</w:t>
                  </w:r>
                </w:p>
              </w:tc>
              <w:tc>
                <w:tcPr>
                  <w:tcW w:w="1091" w:type="pct"/>
                  <w:tcBorders>
                    <w:tl2br w:val="nil"/>
                    <w:tr2bl w:val="nil"/>
                  </w:tcBorders>
                  <w:vAlign w:val="center"/>
                </w:tcPr>
                <w:p w:rsidR="001F554F" w:rsidRPr="0026356B" w:rsidRDefault="001F554F" w:rsidP="0026356B">
                  <w:pPr>
                    <w:snapToGrid w:val="0"/>
                    <w:spacing w:line="240" w:lineRule="exact"/>
                    <w:rPr>
                      <w:rFonts w:ascii="宋体" w:eastAsia="宋体" w:hAnsi="宋体" w:cs="仿宋_GB2312"/>
                      <w:sz w:val="18"/>
                      <w:szCs w:val="18"/>
                    </w:rPr>
                  </w:pPr>
                  <w:r w:rsidRPr="0026356B">
                    <w:rPr>
                      <w:rFonts w:ascii="宋体" w:eastAsia="宋体" w:hAnsi="宋体" w:cs="仿宋_GB2312" w:hint="eastAsia"/>
                      <w:sz w:val="18"/>
                      <w:szCs w:val="18"/>
                    </w:rPr>
                    <w:t>健康检查周期：1年</w:t>
                  </w:r>
                </w:p>
              </w:tc>
            </w:tr>
          </w:tbl>
          <w:p w:rsidR="001F554F" w:rsidRPr="0026356B" w:rsidRDefault="0026356B" w:rsidP="0026356B">
            <w:pPr>
              <w:pStyle w:val="GB23122521"/>
              <w:spacing w:line="240" w:lineRule="exact"/>
              <w:ind w:firstLineChars="100" w:firstLine="210"/>
              <w:outlineLvl w:val="0"/>
              <w:rPr>
                <w:rFonts w:ascii="宋体" w:eastAsia="宋体" w:hAnsi="宋体" w:cs="仿宋_GB2312"/>
                <w:b w:val="0"/>
                <w:bCs w:val="0"/>
                <w:sz w:val="21"/>
                <w:szCs w:val="21"/>
              </w:rPr>
            </w:pPr>
            <w:bookmarkStart w:id="15" w:name="_Toc59704587"/>
            <w:r>
              <w:rPr>
                <w:rFonts w:ascii="宋体" w:eastAsia="宋体" w:hAnsi="宋体" w:cs="仿宋_GB2312"/>
                <w:b w:val="0"/>
                <w:bCs w:val="0"/>
                <w:sz w:val="21"/>
                <w:szCs w:val="21"/>
              </w:rPr>
              <w:t>3.</w:t>
            </w:r>
            <w:r w:rsidR="001F554F" w:rsidRPr="0026356B">
              <w:rPr>
                <w:rFonts w:ascii="宋体" w:eastAsia="宋体" w:hAnsi="宋体" w:cs="仿宋_GB2312" w:hint="eastAsia"/>
                <w:b w:val="0"/>
                <w:bCs w:val="0"/>
                <w:sz w:val="21"/>
                <w:szCs w:val="21"/>
              </w:rPr>
              <w:t>下一阶段应开展的职业卫生评价或检测建议</w:t>
            </w:r>
            <w:bookmarkEnd w:id="12"/>
            <w:bookmarkEnd w:id="13"/>
            <w:bookmarkEnd w:id="14"/>
            <w:bookmarkEnd w:id="15"/>
          </w:p>
          <w:p w:rsidR="001F554F" w:rsidRPr="0026356B" w:rsidRDefault="001F554F" w:rsidP="0026356B">
            <w:pPr>
              <w:adjustRightInd w:val="0"/>
              <w:spacing w:line="240" w:lineRule="exact"/>
              <w:ind w:firstLineChars="100" w:firstLine="210"/>
              <w:rPr>
                <w:rFonts w:ascii="宋体" w:eastAsia="宋体" w:hAnsi="宋体" w:cs="仿宋_GB2312"/>
                <w:szCs w:val="21"/>
              </w:rPr>
            </w:pPr>
            <w:bookmarkStart w:id="16" w:name="_Toc30502"/>
            <w:r w:rsidRPr="0026356B">
              <w:rPr>
                <w:rFonts w:ascii="宋体" w:eastAsia="宋体" w:hAnsi="宋体" w:cs="仿宋_GB2312" w:hint="eastAsia"/>
                <w:szCs w:val="21"/>
              </w:rPr>
              <w:t>依据安监总局47号令《工作场所职业卫生监督管理规定》中第二十条 存在职业病危害的用人单位，应当委托具有相应资质的职业卫生技术服务机构，每年至少进行一次职业病危害因素检测。</w:t>
            </w:r>
            <w:bookmarkEnd w:id="16"/>
          </w:p>
          <w:p w:rsidR="001F554F" w:rsidRPr="0026356B" w:rsidRDefault="001F554F" w:rsidP="0026356B">
            <w:pPr>
              <w:autoSpaceDE w:val="0"/>
              <w:autoSpaceDN w:val="0"/>
              <w:adjustRightInd w:val="0"/>
              <w:spacing w:line="240" w:lineRule="exact"/>
              <w:ind w:firstLineChars="100" w:firstLine="210"/>
              <w:rPr>
                <w:rFonts w:ascii="宋体" w:eastAsia="宋体" w:hAnsi="宋体" w:cs="宋体"/>
                <w:kern w:val="0"/>
                <w:szCs w:val="21"/>
              </w:rPr>
            </w:pPr>
            <w:r w:rsidRPr="0026356B">
              <w:rPr>
                <w:rFonts w:ascii="宋体" w:eastAsia="宋体" w:hAnsi="宋体" w:cs="仿宋_GB2312" w:hint="eastAsia"/>
                <w:szCs w:val="21"/>
              </w:rPr>
              <w:t>用人单位应依据以上法规要求，定期开展企业的职业病危害检测和评价工作。</w:t>
            </w:r>
          </w:p>
        </w:tc>
      </w:tr>
      <w:tr w:rsidR="00962C39" w:rsidRPr="00962C39" w:rsidTr="00BC6BE4">
        <w:trPr>
          <w:jc w:val="center"/>
        </w:trPr>
        <w:tc>
          <w:tcPr>
            <w:tcW w:w="846" w:type="dxa"/>
            <w:vMerge w:val="restart"/>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lastRenderedPageBreak/>
              <w:t>专家组评审意见</w:t>
            </w:r>
          </w:p>
        </w:tc>
        <w:tc>
          <w:tcPr>
            <w:tcW w:w="1559" w:type="dxa"/>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t>报告书评审意见</w:t>
            </w:r>
          </w:p>
        </w:tc>
        <w:tc>
          <w:tcPr>
            <w:tcW w:w="5891" w:type="dxa"/>
            <w:vAlign w:val="center"/>
          </w:tcPr>
          <w:p w:rsidR="00962C39"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1</w:t>
            </w:r>
            <w:r>
              <w:rPr>
                <w:rFonts w:ascii="宋体" w:eastAsia="宋体" w:hAnsi="宋体"/>
                <w:szCs w:val="21"/>
              </w:rPr>
              <w:t>.</w:t>
            </w:r>
            <w:r w:rsidR="002E70DD" w:rsidRPr="0026356B">
              <w:rPr>
                <w:rFonts w:ascii="宋体" w:eastAsia="宋体" w:hAnsi="宋体" w:hint="eastAsia"/>
                <w:szCs w:val="21"/>
              </w:rPr>
              <w:t>补充了《城镇污水处理厂防毒技术规范》WS702-2010;</w:t>
            </w:r>
          </w:p>
          <w:p w:rsidR="002E70DD"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2</w:t>
            </w:r>
            <w:r>
              <w:rPr>
                <w:rFonts w:ascii="宋体" w:eastAsia="宋体" w:hAnsi="宋体"/>
                <w:szCs w:val="21"/>
              </w:rPr>
              <w:t>.</w:t>
            </w:r>
            <w:r w:rsidR="002E70DD" w:rsidRPr="0026356B">
              <w:rPr>
                <w:rFonts w:ascii="宋体" w:eastAsia="宋体" w:hAnsi="宋体" w:hint="eastAsia"/>
                <w:szCs w:val="21"/>
              </w:rPr>
              <w:t>完善了职业病危害因素分析及其应急救援措施评价；</w:t>
            </w:r>
          </w:p>
          <w:p w:rsidR="002E70DD"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3</w:t>
            </w:r>
            <w:r>
              <w:rPr>
                <w:rFonts w:ascii="宋体" w:eastAsia="宋体" w:hAnsi="宋体"/>
                <w:szCs w:val="21"/>
              </w:rPr>
              <w:t>.</w:t>
            </w:r>
            <w:r w:rsidR="002E70DD" w:rsidRPr="0026356B">
              <w:rPr>
                <w:rFonts w:ascii="宋体" w:eastAsia="宋体" w:hAnsi="宋体" w:hint="eastAsia"/>
                <w:szCs w:val="21"/>
              </w:rPr>
              <w:t>按专家意见进行了修改。</w:t>
            </w:r>
          </w:p>
        </w:tc>
      </w:tr>
      <w:tr w:rsidR="00962C39" w:rsidRPr="00962C39" w:rsidTr="00BC6BE4">
        <w:trPr>
          <w:jc w:val="center"/>
        </w:trPr>
        <w:tc>
          <w:tcPr>
            <w:tcW w:w="846" w:type="dxa"/>
            <w:vMerge/>
            <w:vAlign w:val="center"/>
          </w:tcPr>
          <w:p w:rsidR="00962C39" w:rsidRPr="00BC6BE4" w:rsidRDefault="00962C39" w:rsidP="00962C39">
            <w:pPr>
              <w:spacing w:line="400" w:lineRule="exact"/>
              <w:rPr>
                <w:rFonts w:ascii="宋体" w:eastAsia="宋体" w:hAnsi="宋体"/>
                <w:szCs w:val="21"/>
              </w:rPr>
            </w:pPr>
          </w:p>
        </w:tc>
        <w:tc>
          <w:tcPr>
            <w:tcW w:w="1559" w:type="dxa"/>
            <w:vAlign w:val="center"/>
          </w:tcPr>
          <w:p w:rsidR="00962C39" w:rsidRPr="00BC6BE4" w:rsidRDefault="00962C39" w:rsidP="00962C39">
            <w:pPr>
              <w:spacing w:line="400" w:lineRule="exact"/>
              <w:rPr>
                <w:rFonts w:ascii="宋体" w:eastAsia="宋体" w:hAnsi="宋体"/>
                <w:szCs w:val="21"/>
              </w:rPr>
            </w:pPr>
            <w:r w:rsidRPr="00BC6BE4">
              <w:rPr>
                <w:rFonts w:ascii="宋体" w:eastAsia="宋体" w:hAnsi="宋体" w:hint="eastAsia"/>
                <w:szCs w:val="21"/>
              </w:rPr>
              <w:t>用人单位评审意见</w:t>
            </w:r>
          </w:p>
        </w:tc>
        <w:tc>
          <w:tcPr>
            <w:tcW w:w="5891" w:type="dxa"/>
            <w:vAlign w:val="center"/>
          </w:tcPr>
          <w:p w:rsidR="00962C39"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1</w:t>
            </w:r>
            <w:r>
              <w:rPr>
                <w:rFonts w:ascii="宋体" w:eastAsia="宋体" w:hAnsi="宋体"/>
                <w:szCs w:val="21"/>
              </w:rPr>
              <w:t>.</w:t>
            </w:r>
            <w:r w:rsidR="002E70DD" w:rsidRPr="0026356B">
              <w:rPr>
                <w:rFonts w:ascii="宋体" w:eastAsia="宋体" w:hAnsi="宋体" w:hint="eastAsia"/>
                <w:szCs w:val="21"/>
              </w:rPr>
              <w:t>加强应急管理，严防特殊环境作业职业危害事故的发生；</w:t>
            </w:r>
          </w:p>
          <w:p w:rsidR="002E70DD"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2</w:t>
            </w:r>
            <w:r>
              <w:rPr>
                <w:rFonts w:ascii="宋体" w:eastAsia="宋体" w:hAnsi="宋体"/>
                <w:szCs w:val="21"/>
              </w:rPr>
              <w:t>.</w:t>
            </w:r>
            <w:r w:rsidR="002E70DD" w:rsidRPr="0026356B">
              <w:rPr>
                <w:rFonts w:ascii="宋体" w:eastAsia="宋体" w:hAnsi="宋体" w:hint="eastAsia"/>
                <w:szCs w:val="21"/>
              </w:rPr>
              <w:t>按《用人单位职业病危害告知于警示标识管理规范》安监总厅安健[2014]111号，规范设置标识牌；</w:t>
            </w:r>
          </w:p>
          <w:p w:rsidR="002E70DD"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3</w:t>
            </w:r>
            <w:r>
              <w:rPr>
                <w:rFonts w:ascii="宋体" w:eastAsia="宋体" w:hAnsi="宋体"/>
                <w:szCs w:val="21"/>
              </w:rPr>
              <w:t>.</w:t>
            </w:r>
            <w:r w:rsidR="002E70DD" w:rsidRPr="0026356B">
              <w:rPr>
                <w:rFonts w:ascii="宋体" w:eastAsia="宋体" w:hAnsi="宋体" w:hint="eastAsia"/>
                <w:szCs w:val="21"/>
              </w:rPr>
              <w:t>按《用人单位职业健康监护监督管理办法》安监总局令</w:t>
            </w:r>
            <w:r w:rsidR="00E85689" w:rsidRPr="0026356B">
              <w:rPr>
                <w:rFonts w:ascii="宋体" w:eastAsia="宋体" w:hAnsi="宋体" w:hint="eastAsia"/>
                <w:szCs w:val="21"/>
              </w:rPr>
              <w:t>[2012]49号、《职业健康监护技术规范》GBZ188-2014,规范开展职业健康检查；</w:t>
            </w:r>
          </w:p>
          <w:p w:rsidR="00E85689" w:rsidRPr="0026356B" w:rsidRDefault="0026356B" w:rsidP="0026356B">
            <w:pPr>
              <w:spacing w:line="240" w:lineRule="exact"/>
              <w:ind w:firstLineChars="100" w:firstLine="210"/>
              <w:rPr>
                <w:rFonts w:ascii="宋体" w:eastAsia="宋体" w:hAnsi="宋体"/>
                <w:szCs w:val="21"/>
              </w:rPr>
            </w:pPr>
            <w:r>
              <w:rPr>
                <w:rFonts w:ascii="宋体" w:eastAsia="宋体" w:hAnsi="宋体" w:hint="eastAsia"/>
                <w:szCs w:val="21"/>
              </w:rPr>
              <w:t>4</w:t>
            </w:r>
            <w:r>
              <w:rPr>
                <w:rFonts w:ascii="宋体" w:eastAsia="宋体" w:hAnsi="宋体"/>
                <w:szCs w:val="21"/>
              </w:rPr>
              <w:t>.</w:t>
            </w:r>
            <w:r w:rsidR="00E85689" w:rsidRPr="0026356B">
              <w:rPr>
                <w:rFonts w:ascii="宋体" w:eastAsia="宋体" w:hAnsi="宋体" w:hint="eastAsia"/>
                <w:szCs w:val="21"/>
              </w:rPr>
              <w:t>按《职业卫生档案管理规范》安监总厅安健[2013]171号，持续完善职业卫生档案。</w:t>
            </w:r>
          </w:p>
        </w:tc>
      </w:tr>
    </w:tbl>
    <w:p w:rsidR="00CE1946" w:rsidRDefault="00CE1946">
      <w:bookmarkStart w:id="17" w:name="_GoBack"/>
      <w:bookmarkEnd w:id="17"/>
    </w:p>
    <w:sectPr w:rsidR="00CE1946" w:rsidSect="00204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ADF" w:rsidRDefault="005B5ADF" w:rsidP="00CE1946">
      <w:r>
        <w:separator/>
      </w:r>
    </w:p>
  </w:endnote>
  <w:endnote w:type="continuationSeparator" w:id="0">
    <w:p w:rsidR="005B5ADF" w:rsidRDefault="005B5ADF" w:rsidP="00CE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ADF" w:rsidRDefault="005B5ADF" w:rsidP="00CE1946">
      <w:r>
        <w:separator/>
      </w:r>
    </w:p>
  </w:footnote>
  <w:footnote w:type="continuationSeparator" w:id="0">
    <w:p w:rsidR="005B5ADF" w:rsidRDefault="005B5ADF" w:rsidP="00CE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1522"/>
    <w:multiLevelType w:val="hybridMultilevel"/>
    <w:tmpl w:val="14ECF1AE"/>
    <w:lvl w:ilvl="0" w:tplc="1FD819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FB337F"/>
    <w:multiLevelType w:val="hybridMultilevel"/>
    <w:tmpl w:val="29DC5B1A"/>
    <w:lvl w:ilvl="0" w:tplc="1D6AF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206FBF"/>
    <w:multiLevelType w:val="hybridMultilevel"/>
    <w:tmpl w:val="8D0C95A8"/>
    <w:lvl w:ilvl="0" w:tplc="6A5CDF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2F1483"/>
    <w:multiLevelType w:val="hybridMultilevel"/>
    <w:tmpl w:val="AB240FF8"/>
    <w:lvl w:ilvl="0" w:tplc="84FC5B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F1ABE3"/>
    <w:multiLevelType w:val="singleLevel"/>
    <w:tmpl w:val="6AF1ABE3"/>
    <w:lvl w:ilvl="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FA1"/>
    <w:rsid w:val="00093781"/>
    <w:rsid w:val="00110925"/>
    <w:rsid w:val="00166D82"/>
    <w:rsid w:val="001F554F"/>
    <w:rsid w:val="0020454B"/>
    <w:rsid w:val="0026356B"/>
    <w:rsid w:val="002E70DD"/>
    <w:rsid w:val="00304FA1"/>
    <w:rsid w:val="003D0873"/>
    <w:rsid w:val="00423F3F"/>
    <w:rsid w:val="004345B9"/>
    <w:rsid w:val="004C6782"/>
    <w:rsid w:val="004D7E3E"/>
    <w:rsid w:val="00535D06"/>
    <w:rsid w:val="005B5ADF"/>
    <w:rsid w:val="00710F51"/>
    <w:rsid w:val="009430CF"/>
    <w:rsid w:val="00962C39"/>
    <w:rsid w:val="00B74557"/>
    <w:rsid w:val="00BC6BE4"/>
    <w:rsid w:val="00C835E3"/>
    <w:rsid w:val="00CE1946"/>
    <w:rsid w:val="00D04527"/>
    <w:rsid w:val="00E85689"/>
    <w:rsid w:val="00E933FB"/>
    <w:rsid w:val="00EB51CE"/>
    <w:rsid w:val="00F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424A"/>
  <w15:docId w15:val="{8113C670-DD03-4B92-A977-41C3810C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946"/>
    <w:rPr>
      <w:sz w:val="18"/>
      <w:szCs w:val="18"/>
    </w:rPr>
  </w:style>
  <w:style w:type="paragraph" w:styleId="a5">
    <w:name w:val="footer"/>
    <w:basedOn w:val="a"/>
    <w:link w:val="a6"/>
    <w:uiPriority w:val="99"/>
    <w:unhideWhenUsed/>
    <w:rsid w:val="00CE1946"/>
    <w:pPr>
      <w:tabs>
        <w:tab w:val="center" w:pos="4153"/>
        <w:tab w:val="right" w:pos="8306"/>
      </w:tabs>
      <w:snapToGrid w:val="0"/>
      <w:jc w:val="left"/>
    </w:pPr>
    <w:rPr>
      <w:sz w:val="18"/>
      <w:szCs w:val="18"/>
    </w:rPr>
  </w:style>
  <w:style w:type="character" w:customStyle="1" w:styleId="a6">
    <w:name w:val="页脚 字符"/>
    <w:basedOn w:val="a0"/>
    <w:link w:val="a5"/>
    <w:uiPriority w:val="99"/>
    <w:rsid w:val="00CE1946"/>
    <w:rPr>
      <w:sz w:val="18"/>
      <w:szCs w:val="18"/>
    </w:rPr>
  </w:style>
  <w:style w:type="table" w:styleId="a7">
    <w:name w:val="Table Grid"/>
    <w:basedOn w:val="a1"/>
    <w:uiPriority w:val="39"/>
    <w:rsid w:val="00CE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qFormat/>
    <w:rsid w:val="004D7E3E"/>
    <w:pPr>
      <w:spacing w:line="500" w:lineRule="exact"/>
    </w:pPr>
    <w:rPr>
      <w:rFonts w:ascii="仿宋_GB2312" w:eastAsia="仿宋_GB2312" w:hAnsi="Calibri" w:cs="Times New Roman"/>
      <w:b/>
      <w:sz w:val="28"/>
      <w:szCs w:val="28"/>
    </w:rPr>
  </w:style>
  <w:style w:type="paragraph" w:customStyle="1" w:styleId="4">
    <w:name w:val="样式4"/>
    <w:basedOn w:val="a8"/>
    <w:qFormat/>
    <w:rsid w:val="004D7E3E"/>
    <w:pPr>
      <w:spacing w:line="500" w:lineRule="exact"/>
      <w:ind w:firstLineChars="200" w:firstLine="562"/>
    </w:pPr>
    <w:rPr>
      <w:rFonts w:ascii="仿宋_GB2312" w:eastAsia="仿宋_GB2312" w:hAnsi="仿宋_GB2312" w:cs="Times New Roman"/>
      <w:b/>
      <w:bCs/>
      <w:sz w:val="28"/>
      <w:szCs w:val="28"/>
    </w:rPr>
  </w:style>
  <w:style w:type="paragraph" w:styleId="a8">
    <w:name w:val="No Spacing"/>
    <w:uiPriority w:val="1"/>
    <w:qFormat/>
    <w:rsid w:val="004D7E3E"/>
    <w:pPr>
      <w:widowControl w:val="0"/>
      <w:jc w:val="both"/>
    </w:pPr>
  </w:style>
  <w:style w:type="paragraph" w:styleId="a9">
    <w:name w:val="List Paragraph"/>
    <w:basedOn w:val="a"/>
    <w:uiPriority w:val="34"/>
    <w:qFormat/>
    <w:rsid w:val="00E933FB"/>
    <w:pPr>
      <w:ind w:firstLineChars="200" w:firstLine="420"/>
    </w:pPr>
  </w:style>
  <w:style w:type="paragraph" w:styleId="aa">
    <w:name w:val="Body Text Indent"/>
    <w:basedOn w:val="a"/>
    <w:link w:val="ab"/>
    <w:uiPriority w:val="99"/>
    <w:semiHidden/>
    <w:unhideWhenUsed/>
    <w:rsid w:val="001F554F"/>
    <w:pPr>
      <w:spacing w:after="120"/>
      <w:ind w:leftChars="200" w:left="420"/>
    </w:pPr>
  </w:style>
  <w:style w:type="character" w:customStyle="1" w:styleId="ab">
    <w:name w:val="正文文本缩进 字符"/>
    <w:basedOn w:val="a0"/>
    <w:link w:val="aa"/>
    <w:uiPriority w:val="99"/>
    <w:semiHidden/>
    <w:rsid w:val="001F554F"/>
  </w:style>
  <w:style w:type="paragraph" w:styleId="20">
    <w:name w:val="Body Text First Indent 2"/>
    <w:basedOn w:val="aa"/>
    <w:next w:val="a"/>
    <w:link w:val="21"/>
    <w:uiPriority w:val="99"/>
    <w:unhideWhenUsed/>
    <w:qFormat/>
    <w:rsid w:val="001F554F"/>
    <w:pPr>
      <w:widowControl/>
      <w:spacing w:after="0" w:line="520" w:lineRule="exact"/>
      <w:ind w:leftChars="0" w:left="0" w:firstLineChars="200" w:firstLine="420"/>
      <w:jc w:val="left"/>
    </w:pPr>
    <w:rPr>
      <w:rFonts w:ascii="宋体" w:eastAsia="宋体" w:hAnsi="宋体" w:cs="Times New Roman" w:hint="eastAsia"/>
      <w:kern w:val="0"/>
      <w:sz w:val="24"/>
      <w:szCs w:val="20"/>
    </w:rPr>
  </w:style>
  <w:style w:type="character" w:customStyle="1" w:styleId="21">
    <w:name w:val="正文文本首行缩进 2 字符"/>
    <w:basedOn w:val="ab"/>
    <w:link w:val="20"/>
    <w:uiPriority w:val="99"/>
    <w:rsid w:val="001F554F"/>
    <w:rPr>
      <w:rFonts w:ascii="宋体" w:eastAsia="宋体" w:hAnsi="宋体" w:cs="Times New Roman"/>
      <w:kern w:val="0"/>
      <w:sz w:val="24"/>
      <w:szCs w:val="20"/>
    </w:rPr>
  </w:style>
  <w:style w:type="paragraph" w:styleId="ac">
    <w:name w:val="Block Text"/>
    <w:basedOn w:val="a"/>
    <w:qFormat/>
    <w:rsid w:val="001F554F"/>
    <w:pPr>
      <w:widowControl/>
      <w:spacing w:after="120"/>
      <w:ind w:leftChars="700" w:left="1440" w:rightChars="700" w:right="700"/>
      <w:jc w:val="left"/>
    </w:pPr>
    <w:rPr>
      <w:rFonts w:ascii="Times New Roman" w:eastAsia="宋体" w:hAnsi="Times New Roman" w:cs="Times New Roman"/>
      <w:kern w:val="0"/>
      <w:sz w:val="20"/>
      <w:szCs w:val="20"/>
    </w:rPr>
  </w:style>
  <w:style w:type="paragraph" w:customStyle="1" w:styleId="GB23122521">
    <w:name w:val="样式 样式 样式 样式 仿宋_GB2312 四号 加粗 行距: 固定值 25 磅 + 首行缩进:  2 字符1 + 首行缩进: ..."/>
    <w:basedOn w:val="a"/>
    <w:qFormat/>
    <w:rsid w:val="001F554F"/>
    <w:pPr>
      <w:widowControl/>
      <w:spacing w:line="500" w:lineRule="exact"/>
      <w:ind w:firstLineChars="200" w:firstLine="200"/>
      <w:jc w:val="left"/>
      <w:outlineLvl w:val="1"/>
    </w:pPr>
    <w:rPr>
      <w:rFonts w:ascii="仿宋_GB2312" w:eastAsia="仿宋_GB2312" w:hAnsi="Times New Roman" w:cs="宋体"/>
      <w:b/>
      <w:bCs/>
      <w:kern w:val="0"/>
      <w:sz w:val="20"/>
      <w:szCs w:val="20"/>
    </w:rPr>
  </w:style>
  <w:style w:type="paragraph" w:styleId="ad">
    <w:name w:val="Balloon Text"/>
    <w:basedOn w:val="a"/>
    <w:link w:val="ae"/>
    <w:uiPriority w:val="99"/>
    <w:semiHidden/>
    <w:unhideWhenUsed/>
    <w:rsid w:val="00BC6BE4"/>
    <w:rPr>
      <w:sz w:val="18"/>
      <w:szCs w:val="18"/>
    </w:rPr>
  </w:style>
  <w:style w:type="character" w:customStyle="1" w:styleId="ae">
    <w:name w:val="批注框文本 字符"/>
    <w:basedOn w:val="a0"/>
    <w:link w:val="ad"/>
    <w:uiPriority w:val="99"/>
    <w:semiHidden/>
    <w:rsid w:val="00BC6B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2021-02-26T00:38:00Z</dcterms:created>
  <dcterms:modified xsi:type="dcterms:W3CDTF">2021-02-26T02:59:00Z</dcterms:modified>
</cp:coreProperties>
</file>